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ՀՀԿԳՄՍՆԷԱՃԱՊՁԲ-26/145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պրոեկտորների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Սաթենիկ Շաբոյան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626)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satenik.shaboyan@escs.am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ՀՀԿԳՄՍՆԷԱՃԱՊՁԲ-26/145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պրոեկտորների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պրոեկտորների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ՀՀԿԳՄՍՆԷԱՃԱՊՁԲ-26/145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satenik.shaboyan@escs.am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պրոեկտորների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1039244.4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կռունկաձ― պրոեկտոր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366.07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4.4217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2026.08.25.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ՀՀԿԳՄՍՆԷԱՃԱՊՁԲ-26/145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ՀՀԿԳՄՍՆԷԱՃԱՊՁԲ-26/145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«ՀՀԿԳՄՍՆԷԱՃԱՊՁԲ-26/145»*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ՀՀԿԳՄՍՆԷԱՃԱՊՁԲ-26/145*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«ՀՀԿԳՄՍՆԷԱՃԱՊՁԲ-26/145»*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ՀՀԿԳՄՍՆԷԱՃԱՊՁԲ-26/145*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կռունկաձ― պրոեկտոր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 
Պայծառություն՝ ոչ պակաս, քան 4500 ANSI lm։ Կոնտրաստ՝ ոչ պակաս, քան 12,500:1։ Ներկառուցված բարձրախոս՝ առկա։ Պատկերի չափ՝ 30–300 դյույմ (անկյունագիծ)։ Ինտերֆեյսներ՝ D-Sub (VGA) ×1, HDMI ×1, Ethernet (RJ-45) կամ ցանցային կառավարման այլ համարժեք տեխնոլոգիա ×1, USB պորտ ×1, RS-232 ×1, 3.5 մմ ստերեո Audio Mini Jack ×1։ Տեսանյութերի համատեղելիություն՝ PAL, SECAM, NTSC։ Ցուցադրվող գույների քանակ՝ ոչ պակաս, քան 1.07 միլիարդ։ Բնական (Native) կետայնություն՝ առնվազն 1024 × 768 (XGA) կամ ավելի բարձր։ Աջակցվող մուտքային թույլտվություններ՝ մինչև 1920 × 1080 (Full HD) ներառյալ։ Նվազագույն հեռավորությունը էկրանից՝ 1.13 մ կամ ցածր, Նախատեսված առավելագույն հեռավորությունը էկրանից՝ 11 մ կամ ավելի բարձր։ Աղմուկի մակարդակ՝ ոչ ավելի, քան 32 դԲ։ Լամպի ծառայության նախատեսված ժամկետ՝ առնվազն 10000 ժամ խնայող ռեժիմում։ Չափսեր՝ ոչ ավելի, քան 350 × 320 × 140 մմ։ Քաշ՝ ոչ ավելի, քան 3.5 կգ։ Ապրանքը պետք է լինի նոր, չօգտագործված, գործարանային փաթեթավորմամբ: Երաշխիքային ժամկետ՝ առնվազն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Երևան,Վ, Սարգսյան3, ՀՀ ԿԳՄՍՆ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23.10.2026թ, բայց ոչ շուտ,քան   Պայմանագիրն ուժի մեջ մտնելու օրվանից սկսած 20-րդ օրացուցային օրը, բացառությամբ այն դեպքի, երբ ընտրված մասնակիցը համաձայնում է ապարանքը մատակարարել նախատեսված ժամկետից շուտ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կռունկաձ― պրոեկտոր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