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проекторы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ՀՀԿԳՄՍՆԷԱՃԱՊՁԲ-26/145</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проекторы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проекторы</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проекторы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Яркость: не менее 4500 ANSI лм. Контрастность: не менее 12 500:1. Встроенный динамик: наличие. Размер изображения: 30–300 дюймов (по диагонали). Интерфейсы: D-Sub (VGA) ×1, HDMI ×1, Ethernet (RJ-45) или иная эквивалентная технология сетевого управления ×1, USB-порт ×1, RS-232 ×1, 3.5 мм стерео Audio Mini Jack ×1. Совместимость с видеосигналами: PAL, SECAM, NTSC. Количество отображаемых цветов: не менее 1,07 миллиарда. Нативное разрешение: не менее 1024 × 768 (XGA) или выше. Поддерживаемые входные разрешения: до 1920 × 1080 (Full HD) включительно. Минимальное расстояние до экрана: 1,13 м или менее. Максимальное предусмотренное расстояние до экрана: 11 м или более. Уровень шума: не более 32 дБ. Расчётный срок службы лампы: не менее 10000 часов в экономичном режиме. Размеры: не более 350 × 320 × 140 мм. Вес: не более 3,5 кг.
Товар должен быть новым, не бывшим в употреблении, в заводской упаковке.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РА,г. Ереван, В.Саргсян 3. Министерство образования, науки, культуры и спорта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23.10.2026г., но не ранее 20-го календарного дня с даты вступления Договора в силу, за исключением случая, когда выбранный участник соглашается сдать здание ранее запланированного срока.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