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ՊԾԷԱՃ-ԱՊՁԲ-2026/7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տարածքային զարգացման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Կ. Ուլնեցու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Պրեմիում բենզին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41 500 760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a.eghiazaryan@atdf.am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տարածքային զարգացման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ՊԾԷԱՃ-ԱՊՁԲ-2026/7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տարածքային զարգացման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տարածքային զարգացման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Պրեմիում բենզին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տարածքային զարգացման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Պրեմիում բենզին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ՊԾԷԱՃ-ԱՊՁԲ-2026/7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a.eghiazaryan@atdf.am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Պրեմիում բենզին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տարածքային զարգացման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ՊԾԷԱՃ-ԱՊՁԲ-2026/7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ՊԾԷԱՃ-ԱՊՁԲ-2026/7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«ՊԾԷԱՃ-ԱՊՁԲ-2026/7»*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տարածքային զարգացման հիմնադրամ*  (այսուհետ` Պատվիրատու) կողմից կազմակերպված` ՊԾԷԱՃ-ԱՊՁԲ-2026/7*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տարածքային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«ՊԾԷԱՃ-ԱՊՁԲ-2026/7»*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տարածքային զարգացման հիմնադրամ*  (այսուհետ` Պատվիրատու) կողմից կազմակերպված` ՊԾԷԱՃ-ԱՊՁԲ-2026/7*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տարածքային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Օկտանային թիվը որոշված՝հետազոտական մեթոդով՝ոչ պակաս 95: Շարժիչային մեթոդով՝ ոչ պակաս 85: Կապարի պարունակությունը՝ 5 մգ/դմ3 –ից ոչ ավելի: Խտությունը՝ 15օ C ջերմաստիճանում՝720-775 կգ/մ3: Ծծմբի պարունակությունը՝ 10 մգ/կգ-ից ոչ ավելի: Ածխաջրածինների ծավալային մասը,ոչ ավելի՝ արոմատիկ – 35%, օլեֆիններ-18%,բենզոլի ծավալային մասը 1%-ից ոչ ավելի: Թթվածնի զանգվածային մասը՝ 2,7 %-ից ոչ ավելի,օքսիդիչների ծավալային մասը, ոչ ավելի՝ մեթանոլ -3%, էթանոլ – 5%, իզոպրոպիլ սպիրտ – 10%,իզոբութիլ սպիրտ -10%, եռաբութիլ սպիրտ – 7%, եթերներ (C5 և ավելի)-15%, այլ օքսիդիչներ – 10%: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*Ապրանքի որակի սերտիֆիկատի առկայությունը պարտադիր է: *Կտրոններն ուժի մեջ պետք է լինեն մատակարարման օրվան հաջորդող առնվազն 24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Կ.Ուլնեցու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