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2026.08.18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187լ/գ</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ԵՋԷԿ- ԷԱՃԾՁԲ-26/57</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ЗАО “Ереванская ТЭЦ”</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г. Ереван, Арин-Берда 3 переулок, N 3</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приобретение бухгалтерских услуг</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12:00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13</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12:00</w:t>
      </w:r>
      <w:r w:rsidRPr="00DD1FC5">
        <w:rPr>
          <w:rFonts w:ascii="Calibri" w:hAnsi="Calibri"/>
          <w:i w:val="0"/>
          <w:sz w:val="22"/>
          <w:szCs w:val="22"/>
        </w:rPr>
        <w:t xml:space="preserve"> часов на </w:t>
      </w:r>
      <w:r w:rsidRPr="00DD1FC5">
        <w:rPr>
          <w:rFonts w:ascii="Calibri" w:hAnsi="Calibri" w:cs="Calibri"/>
          <w:i w:val="0"/>
          <w:sz w:val="22"/>
          <w:szCs w:val="22"/>
          <w:lang w:val="af-ZA"/>
        </w:rPr>
        <w:t>13</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Արմեն Պետրոսյան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purchase@ytpc.am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Հեռ․ 011 47 26 11</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ЗАО “Ереванская ТЭЦ”</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ԵՋԷԿ- ԷԱՃԾՁԲ-26/57</w:t>
      </w:r>
      <w:r w:rsidR="008552E6" w:rsidRPr="0046321F">
        <w:rPr>
          <w:rFonts w:ascii="Calibri" w:hAnsi="Calibri" w:cs="Times Armenian"/>
        </w:rPr>
        <w:br/>
      </w:r>
      <w:r w:rsidR="008552E6" w:rsidRPr="00DD1FC5">
        <w:rPr>
          <w:rFonts w:ascii="Calibri" w:hAnsi="Calibri" w:cstheme="minorHAnsi"/>
          <w:lang w:val="af-ZA"/>
        </w:rPr>
        <w:t>2026.08.18 </w:t>
      </w:r>
      <w:r w:rsidR="008552E6" w:rsidRPr="00DD1FC5">
        <w:rPr>
          <w:rFonts w:ascii="Calibri" w:hAnsi="Calibri" w:cs="Calibri"/>
          <w:lang w:val="af-ZA"/>
        </w:rPr>
        <w:t xml:space="preserve">N </w:t>
      </w:r>
      <w:r w:rsidR="008552E6" w:rsidRPr="00DD1FC5">
        <w:rPr>
          <w:rFonts w:ascii="Calibri" w:hAnsi="Calibri" w:cstheme="minorHAnsi"/>
          <w:lang w:val="af-ZA"/>
        </w:rPr>
        <w:t>187լ/գ</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ЗАО “Ереванская ТЭЦ”</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ЗАО “Ереванская ТЭЦ”</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приобретение бухгалтерских услуг</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приобретение бухгалтерских услуг</w:t>
      </w:r>
      <w:r w:rsidRPr="00DD1FC5">
        <w:rPr>
          <w:rFonts w:ascii="Calibri" w:hAnsi="Calibri"/>
          <w:b/>
          <w:lang w:val="ru-RU"/>
        </w:rPr>
        <w:t xml:space="preserve"> ДЛЯ НУЖД </w:t>
      </w:r>
      <w:r w:rsidRPr="00DD1FC5">
        <w:rPr>
          <w:rFonts w:ascii="Calibri" w:hAnsi="Calibri"/>
          <w:b/>
          <w:u w:val="single"/>
          <w:lang w:val="ru-RU"/>
        </w:rPr>
        <w:t>ЗАО “Ереванская ТЭЦ”</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ԵՋԷԿ- ԷԱՃԾՁԲ-26/57</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purchase@ytpc.am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приобретение бухгалтерских услуг</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бухгалтерские услуги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12:00</w:t>
      </w:r>
      <w:r w:rsidRPr="00DD1FC5">
        <w:rPr>
          <w:rFonts w:ascii="Calibri" w:hAnsi="Calibri"/>
          <w:lang w:val="ru-RU"/>
        </w:rPr>
        <w:t>" часов "</w:t>
      </w:r>
      <w:r w:rsidR="00B40D86" w:rsidRPr="00B40D86">
        <w:rPr>
          <w:rFonts w:ascii="Calibri" w:hAnsi="Calibri"/>
          <w:lang w:val="hy-AM"/>
        </w:rPr>
        <w:t>13</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365.5</w:t>
      </w:r>
      <w:r w:rsidRPr="00DD1FC5">
        <w:rPr>
          <w:rFonts w:ascii="Calibri" w:hAnsi="Calibri"/>
          <w:szCs w:val="22"/>
        </w:rPr>
        <w:t xml:space="preserve"> драмом, российский рубль </w:t>
      </w:r>
      <w:r w:rsidR="009341B3" w:rsidRPr="009341B3">
        <w:rPr>
          <w:rFonts w:ascii="Calibri" w:hAnsi="Calibri"/>
          <w:lang w:val="hy-AM"/>
        </w:rPr>
        <w:t>4.3157</w:t>
      </w:r>
      <w:r w:rsidRPr="00DD1FC5">
        <w:rPr>
          <w:rFonts w:ascii="Calibri" w:hAnsi="Calibri"/>
          <w:szCs w:val="22"/>
        </w:rPr>
        <w:t xml:space="preserve"> драмом, евро</w:t>
      </w:r>
      <w:r w:rsidR="00405759" w:rsidRPr="00405759">
        <w:rPr>
          <w:rFonts w:ascii="Calibri" w:hAnsi="Calibri"/>
          <w:lang w:val="hy-AM"/>
        </w:rPr>
        <w:t>423.61</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2026.09.01. 12:00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ԵՋԷԿ- ԷԱՃԾՁԲ-26/57</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ЗАО “Ереванская ТЭЦ”</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ԵՋԷԿ- ԷԱՃԾՁԲ-26/57</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ԵՋԷԿ- ԷԱՃԾՁԲ-26/57</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'ԵՋԷԿ- ԷԱՃԾՁԲ-26/57'</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ԵՋԷԿ- ԷԱՃԾՁԲ-26/57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“Ереванская ТЭЦ”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"ԵՋԷԿ- ԷԱՃԾՁԲ-26/57"*</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“Ереванская ТЭЦ”</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ԵՋԷԿ- ԷԱՃԾՁԲ-26/57</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32D53">
          <w:rPr>
            <w:rStyle w:val="Hyperlink"/>
            <w:rFonts w:ascii="Calibri" w:eastAsiaTheme="minorHAnsi" w:hAnsi="Calibri" w:cstheme="minorBidi"/>
            <w:sz w:val="22"/>
            <w:szCs w:val="22"/>
            <w:lang w:val="en-US"/>
          </w:rPr>
          <w:t>www.procurement.am</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ԵՋԷԿ- ԷԱՃԾՁԲ-26/57</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ԵՋԷԿ- ԷԱՃԾՁԲ-26/57</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3</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0.13 (ноль целых тринадцать сотых)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Ведение бухгалтерского учета клиента в соответствии с Заказчика Республики Армения о бухгалтерском учете и нормативно-правовыми актами, регулирующими бухгалтерский учет
с помощью компьютерных программ, обеспечивающих учет в соответствии с требованиями: AS-Enterprise asacc-4.0. и AS-Wages 4.0․
Подготовка и подача ежемесячной, квартальной, полугодовой, годовой, налоговой и иной отчетности в соответствии с правовыми актами, принятыми государственным органом, регулирующим бухгалтерский учет и международные стандарты финансовой отчетности, установленными Законом Республики Армения о бухгалтерском учете, а также:
1․ Комиссии по регулированию общественных услуг:
- Информация о доходах /1-1 /,
- Информация о заработной плате и других компенсациях работников /1-2/,
- Информация о приобретенных основных средствах /1-3/,
- Информация о материальных затратах /1-4/,
- Информация о ремонте основных средств /1-5/,
- Информация о капитальных затратах на основные средства /1-6/,
- Информация о незавершенных внеоборотных материальных активах /1-7/,
- Информация об услугах или выполненных работах оказанных сторонними  организаций /1-8/,
- Информация о движении кредитов, кредитных линий и ссуд /1-9/,
- Информация об отчужденных (проданных) основных средствах /1-10/,
- Информация о ликвидируемых основных средствах /1-11/,
- Информация о направлениях расходования деталей, дополнительных сооружений и других пригодных материалов полученных от ликвидации основных средств /1-12/,
- Информация о потоках денежных средств /1-13 /
- Информация о движении средств на специальном счете
2․ Статистический комитет РА:
- О промышленной продукции организации /1-Արտ/,
- Об учете цен на продукцию отраслевых организаций / 1-Գին արտադրանք/,
- О численности сотрудников и заработной плате /1-Ա/,
-Об основных показателях хозяйственной деятельности организаций /1-ՏԳ/,
-Օ работе автомобильного транспорта и  протяженности автомобильных дорог не общего пользования /1-Տրանսպորտ/,
-О финансовых показателях организаций /3-Ֆ/,
-О состоянии расчетов организаций /6-Ֆ/,
-Информация о наличии и движении основных средств, незавершенных внеоборотных материальных активов и нематериальных активов / (11-ՀՄ),
-Об экспорте и импорте природного газа / 1-Գազ и 2-Գազ/,
- О бизнес (предпринимательском) регистре юридических лиц /1-ԲՌ/,
- О производстве, потреблении и запасах энергоносителей /1-էներգետիկա/, 
-по иностранным инвестициям /9-Инвестиции/,
-по обслуживанию внешних обязятельств нефинансовых организаций (9 - обязательство),
- о международной торговле услугами (1-միջազգային ծառայություն )
3․ В целях подготовки годовой финансовой отчетности, а также в иных случаях проводится обязательная инвентаризация около 32 000 основных средств и около 12 500 материалов и обязательств в порядке, установленном Советом общественного контроля.
Программный учет результатов переоценки имущества, учет и документирование имущества, подлежащего отчуждению.
4. Подготовка и подача годовой финансовой отчетности не менее чем за 40 дней до независимого аудита.
Годовая бухгалтерская отчетность должна быть качественной, о чем свидетельствуют результаты независимой проверки годовой бухгалтерской отчетности, положительное аудиторское заключение без изменений.
Поддержка процессов аудита,по мере необходимости, предоставление данных, и любого отчета, документа, связанного с бухгалтерским учетом необходимых для аудита.
Во время проверок организованных ГКД РА и другими уполномоченными органами предоставлять документы и данные, обеспечить присутствия, должным образом резюмировать отчета о проверке. Лица, ответственные за организацию и ведение бухгалтерского учета, за нарушение требований правовых актов, регулирующих бухгалтерский учет, несут ответственность в порядке, установленном Кодексом Республики Армения и другими законами об административных правонарушениях.
Непосредственное выполнение иных отраслевых поручений руководителя департамента, финансового директора.
Исполнитель обязан обеспечить присутствие не менее 4 (четырех) сотрудников в офисе Заказчика в рабочие дни и часы установленные Заказчиком (удаленно или присутствующие),
Исполнитель должен иметь
-бухгалтера или аудитора, имеющего 10 и более лет управленческого опыта в соответствующей сфере и высшее экономическое образование;
-специалиста по составлению годовой финансовой отчетности в соответствии с требованиями полной версии МСФО, имеющий опыт работы 5 и более лет, имеющий высшее образование и квалификацию эксперта-бухгалтера/аудитора;
-специалиста по подготовке годовой финансовой отчетности по МСФО с опытом работы не менее 5 лет в соответствующей сфере;
-бухгалтера по расчету заработной платы с опытом работы не менее 3 лет
В составе специализированной организации должен быть
специалиста по составлению годовой финансовой отчетности в соответствии с требованиями полной версии МСФО, который должен иметь квалификацию Ассоциации сертифицированных дипломированных бухгалтеров и/или квалификацию аудитора и/или эксперта-бухгалтера.
В организации должно быть не менее 3 экспертов-бухгалтеров.
Организация должна иметь опыт работы в данной отрасли.
Не менее чем за 5 дней до окончания услуг Исполнитель должен быть готовым передать Заказчику все документы, находящиеся в его распоряжении, переданные ему или составленные им, информацию на компьютерных (электронных) носителях, в том числе документы бухгалтерского учета (первоначальные документы, журналы регистрации, отчеты и т.д.), программное обеспечение ведения бухгалтерского учета со всеми разрешениями на доступ и использование. Указанные материалы подлежащие передаче должны быть переданы в том виде и оформлении, которые доступны исполнителю на момент передачи. Передача указанных материалов исполнителем и их прием заказчиком констатируется соответствующим актом приема-передачи, и должна быть выполнена не позднее дня, установленного для утверждения акта приема-передачи за последний месяц.
Обязательно наличие страховки профессиональной ответственности.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Арин-Берда, 3-й пер.,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одного года, после вступления в силу условия исполнения прав и обязанностей сторон, предусмотренных договором.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бухгалтерские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