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շտրիխ կոդերի սկանավորման սարքերի, ջերմային տպիչների և ցանցային փոխակերպիչների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շտրիխ կոդերի սկանավորման սարքերի, ջերմային տպիչների և ցանցային փոխակերպիչների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շտրիխ կոդերի սկանավորման սարքերի, ջերմային տպիչների և ցանցային փոխակերպիչների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շտրիխ կոդերի սկանավորման սարքերի, ջերմային տպիչների և ցանցային փոխակերպիչների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արյան փորձանոթների բարկոդների սկանավորման համար։ 
Տեխնիկական բնութագիրը՝
•Միջերեսը – USB, լարի երկարությունը ոչ պակաս քան 1,5մ
•Համատեղելի - Windows 11, 10, 8.1, 8, 7 տեսակի օպերացիոն համակարգերի հետ
•Կարդացվող բարկոդների տեսակը - Code11, Code39, Code93, Code32, Code128, Coda Bar, UPC-A, UPC-E, EAN-8, EAN-13, ISBN/ISSN, և այլ, ինչպես նաև նախածանցների, վերջածանցների և վերջնագծերի կարգավորելու հնարավորություն
•Երաշխիքը 1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միջերեսով միացող բարկոդի ջերմային տպիչ արյան փորձանոթների պիտակավորման համար։
Տեխնիկական բնութագրերը, ոչ պակաս քան՝
•Տպման մեթոդը՝  ուղիղ ջերմային (direct thermal)
•Կետայնությունը՝ 8 կետ/մմ (203 DPI)
•Առավելագույն տպման արագությունը 152 մմ /վ
•Առավելագույն տպման լայնությունը 108 մմշ
•Թղթի հաստությունը 0.06 մմ -ից  0.25 մմ
•Թղթի լայնությունը 20 մմ -ից 115 մմ
•Թղթի երկարությունը 10 մմ -ից 1778 մմ
•Բարկոդների տեսակը՝ 1D barcode: Code 39, Code 93, Code 128UCC, Code 128, subsets A, B, C,                Codabar, Interleaved 2 of 5, EAN-8,EAN-13, EAN-128, UPC-A, UPC-E, EAN and UPC 2(5) digits add-on, MSI, PLESSEY, POSTNET, China POST,  GS1 DataBar, Code11․ 2D barcode: PDF-417, Maxicode, DataMatrix, QR code, Aztec 
•Երաշխիքը առնվազն 1 տարի
Լրակազմը պետք է ներառի սարքի աշխատանքի համար նախատեսված պարագաները և երաշխիքային կտրոնը, ինչպես նաև 55 մմ x 30 մմ չափսի ինքնակպչուն պիտակների փաթեթ (roll)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Տեխնիկական բնութագիրը՝
•Սարքի կարգավորումները պետք է հնարավոր լինի իրականացնել ոչ պակաս քան Serial Console, Windows Utility, Telnet Console և Web Console (HTTP) տարբերակներով։
•Միջերեսների քանակը՝ 2, RS232 և 10/100BaseT(X) RJ45
•Սարքի կառավարումը պետք է հնարավոր լինի իրականացնել ոչ պակաս քան DHCP Client, IPv4, SMTP, Telnet, DNS, HTTP, ARP, BOOTP, UDP, TCP/IP և ICMP տարբերակներով։
•Մագնիսական մեկուսացման պաշտպանության առկայություն առնվազն 1.5 կՎ (ներկառուցված)
•Անվտանգության ստանդարտները ոչ պակաս քան EN 62368-1, IEC 62368-1 և UL 60950-1
•Էլեկտրամագնիսական զգայունությունը (EMS) պետք է համապատասխանի առնվազն ՝
o	IEC 61000-4-2 ESD: Contact: 4 kV; Air: 8 kV 
o	IEC 61000-4-3 RS: 80 MHz to 1 GHz: 3 V/m
o	IEC 61000-4-4 EFT: Power: 1 kV; Signal: 1 kV 
o	IEC 61000-4-5 Surge: Power: 1 kV
o	IEC 61000-4-6 CS: 150 kHz to 80 MHz: 3 V/m; Signal: 3 V/m I
o	IEC 61000-4-8 PFMF IEC 61000-4-11
•Խափանումների միջև ընկած ժամանակահատվածը (MTBF) առնվազն 3,126,448 ժամ
•Windows-ի ծրագրային ապահովման առկայություն (driver) Windows 11, 10, 8.1, 8, 7, Vista, XP, Windows Server 2022, 2019, 2016, 2012 R2, 2012, 2008 R2, 2008, 2003 և Windows Embedded CE 6.0, 5.0, ինչպես նաև Windows XP Embedded օպերացիոն համակարգերի համար
•Նույնականացման տվյալները պահպանվում են սարքի վրա
•Աշխատանքային ռեժիմները՝ անջատված, Ethernet Modem, Pair Connection, Real COM, Reverse Telnet, TCP Client, TCP Server, UDP
•Արտադրողի երաշխիքային ժամկետը ոչ պակաս քան 5 տարի
Լրակազմը պետք է ներառի սարքի աշխատանքի համար նախատեսված պարագաները և երաշխիքային կտրոնը։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կոդերի սկանավորման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