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сканеров штрихкодов, термопринтеров и сетевых преобразователей для нужд ЗАО «Медицинский центр Наири»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ՆԲԿ-ԷԱՃԱՊՁԲ-2026/40</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сканеров штрихкодов, термопринтеров и сетевых преобразователей для нужд ЗАО «Медицинский центр Наири»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сканеров штрихкодов, термопринтеров и сетевых преобразователей для нужд ЗАО «Медицинский центр Наири» в 2026 году.</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сканеров штрихкодов, термопринтеров и сетевых преобразователей для нужд ЗАО «Медицинский центр Наири»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3.09</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для сканирования штрихкодов на пробирках с кровью.
Технические характеристики:
• Интерфейс – USB, длина кабеля не менее 1,5 м
• Совместимость с операционными системами Windows 11, 10, 8.1, 8, 7
• Типы считываемых штрихкодов – Code11, Code39, Code93, Code32, Code128, Coda Bar, UPC-A, UPC-E, EAN-8, EAN-13, ISBN/ISSN и другие, а также возможность настройки префиксов, суффиксов и завершающих дефисов
• Гарантия 1 год
В комплект поставки должны входить аксессуары для устройства и гарантийный талон.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для маркировки пробирок с образцами крови, подключаемый через USB.
Технические характеристики (не менее):
• Метод печати: прямая термопечать
• Разрешение точки: 8 точек/мм (203 DPI)
• Максимальная скорость печати: 152 мм/с
• Максимальная ширина печати: 108 мм
• Толщина бумаги: от 0,06 мм до 0,25 мм
• Ширина бумаги: от 20 мм до 115 мм
• Длина бумаги: от 10 мм до 1778 мм
• Тип штрихкода: одномерный штрихкод. Код 39, Код 93, Код 128UCC, Код 128, подмножества A, B, C, Codabar, Interleaved 2 of 5, EAN-8, EAN-13, EAN-128, UPC-A, UPC-E, EAN и UPC 2(5) digits add-on, MSI, PLESSEY, POSTNET, China POST, GS1 DataBar, Code11․ 2D штрихкод: PDF-417, Maxicode, DataMatrix, QR-код, Aztec
• Гарантия не менее 1 года
В комплект поставки должны входить аксессуары для устройства и гарантийный талон, а также рулон из 50 самоклеящихся этикеток размером 55 мм x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сетевого преобразователя RS 232, RS 422, RS 485:
• Настройки устройства должны обеспечивать возможность реализации как минимум следующих опций: последовательная консоль, утилита Windows, консоль Telnet и веб-консоль (HTTP).
• Количество интерфейсов: 2, RS232 и 10/100BaseT(X) RJ45.
• Управление устройством должно обеспечивать возможность реализации как минимум следующих опций: DHCP-клиент, IPv4, SMTP, Telnet, DNS, HTTP, ARP, BOOTP, UDP, TCP/IP и ICMP.
• Наличие защиты от магнитной изоляции не менее 1,5 кВ (встроенная)
• Соответствие стандартам безопасности не менее EN 62368-1, IEC 62368-1 и UL 60950-1
• Электромагнитная восприимчивость (ЭМС) должна соответствовать как минимум следующим требованиям:
o IEC 61000-4-2 ESD: Контакт: 4 кВ; Воздух: 8 кВ
o IEC 61000-4-3 RS. От 80 МГц до 1 ГГц. 3 В/м
o IEC 61000-4-4 EFT. Мощность: 1 кВ; Сигнал: 1 кВ
o IEC 61000-4-5 Перенапряжение. Мощность: 1 кВ
o IEC 61000-4-6 CS. От 150 кГц до 80 МГц. 3 В/м; Сигнал: 3 В/м I
o IEC 61000-4-8 PFMF IEC 61000-4-11
• Среднее время безотказной работы (MTBF) не менее 3 126 448 часов
• Программное обеспечение (драйвер) для Windows 11, 10, 8.1, 8, 7, Vista, XP, Windows Server 2022, 2019, 2016, 2012 R2, 2012, 2008 R2, 2008, 2003 и Windows Embedded CE 6.0, 5.0, а также Windows XP Embedded
• Идентификационные данные хранятся на устройстве
• Режимы работы: Выкл., Ethernet-модем, Парное соединение, Реальный COM, Обратный Telnet, TCP-клиент, TCP-сервер, UDP
• Гарантийный срок производителя не менее 5 лет
В комплект поставки должны входить аксессуары для инструкция по эксплуатации устройства и гарантийный купон.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