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ՀԱՄԱԿԱՐԳԻՉՆԵՐԻ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i3   
 10100,  բազային հաճախականությունը առնվազն 3.6 GHz, հիշողությունը առնվազն 4 MB (Cache): Օպերատիվ հիշողություն(RAM)  առնվազն 8 GB, 2666 MHz  DDR4: Կոշտ սկավառակ ներքին(SSD) առնվազն 120 GB M.2 NVMe PCIe: Տեսաքարտ` մայրական սալիկում ինտեգրված, Intel UHD Graphics: Ձայնային սարքավորումներ՝ ինտեգրված ձայնային քարտ: Հոսանքի սնուցման սարքը(psu)` առնվազն 450w: Էկրան՝ օգտագործվող հատվածի անկյունագծի չափսը առնվազն 19 դյույմ, կետայնությունը առնվազն 1920*1080, պայծառությունը առնվազն 250 կ/դ, հոսանքի բոլոր մալուխները պետք է ներառված լինեն կոմպլեկտի մեջ: Արտաքին միացումների հնարավորություններ՝ առնվազն 1*VGA,1*HDMI video port,2*USB 3.2 Gen Type-A, 4*USB 2.0 Type A, 1*Universal Audio Jack (In Front),RJ-45 Port 10/100/1000 Mbps միացում: Ստեղնաշար՝ գործարանային անգլերեն և ռուսերեն տառատեսակներով, համատեղելի MS Windows համակարգի հետ, մկնիկ՝ համակարգչային,սնուցումները USB:
Բոլոր ապրանքները պետք է լինեն նոր, չօգտագործված կոմպլեկտավորումը և փաթեթավորումը գործարանային:
Համակարգչի և մոնիտորի երաշխիքային ժամկետն  առնվազն 1 տարի: Մատակարարն ինքն իր միջոցների հաշվին պատվիրատուին պետք է գործնականում փաստի առաքված բոլոր լրակազմերի սարքին լինելը և անթերի աշխատանքը: Բեռնաբարձումը, առաքումը, տեղափոխումը և բեռնաթափումը կատարվում է մատակարարի միջոցների հաշվին (նույնը վերաբերվում է նաև երաշխիքային սպասարկման դեպքերին):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