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^trademark_out^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^trademark_out_2^</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^reverse_start_time^</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^inactivity_day^</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^working_day^</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^qualification_period^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^tender:code^</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^tender:code^</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^havelvac_1^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^havelvac_2_1^</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^havelvac_2_3^</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^havelvac_4.2_5^</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^without_prepayment^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թուղթ,/210*297մմ/ թղթի անթափանցելությունը` 94%, Թղթի հաստությունը`110 մկմ, Թղթի պայծառությունը`104,սպիտակությունը` 152% եւ ավելի, Չկավճած թուղթ, նախատեսված գրասենյակային տպիչներով տպագրման համար, թղթի խտությունը` 80գ/քմ, քանակը տուփում 500 թերթ, 2,5 կգ; Տուփերի քանակը արկղում` 5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թերթ երկողմանիտպագրությամբ՝ Չափսը Ա4, թղթի խտությունը ոչ պակաս 210 գ/քմ, տպագրությունը իրկականցվում է պատվիրատուի կողմից տրամադրվող նմուշի համաձայն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Ֆուչիչկի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Ֆուչիչկի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