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ՊՊԾ-ԷԱՃԱՊՁԲ-2026/44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պահպանության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Պռոշյան 1, փակուղի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ՊՊԾ կարիքների համար 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Խուրշուդյան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010532358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x_syuzi.91@mail.ru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պահպանության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ՊՊԾ-ԷԱՃԱՊՁԲ-2026/44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պահպանության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պահպանության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ՊՊԾ կարիքների համար 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պահպանության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ՊՊԾ կարիքների համար 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ՊՊԾ-ԷԱՃԱՊՁԲ-2026/44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x_syuzi.91@mail.ru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ՊՊԾ կարիքների համար 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4.3711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պահպանության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ՊՊԾ-ԷԱՃԱՊՁԲ-2026/44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ՊՊԾ-ԷԱՃԱՊՁԲ-2026/44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«ՊՊԾ-ԷԱՃԱՊՁԲ-2026/44»*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«ՊՊԾ-ԷԱՃԱՊՁԲ-2026/44»*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Մատակարարվող վառելիքի մի մասը կտրոններով: Կտրոններն ուժի մեջ պետք է լինեն մատակարարման օրվան հաջորդող առնվազն 12 ամսվա ընթացքում և դրանք պետք է  սպասարկվեն  ՀՀ մարզերում և ք․ Երևանում։ Անվտանգությունը, մակնշումը և փաթեթավորումը` ըստ Մաքսային միության հանձնաժողովի 2011 թվականի հոկտեմբերի 18-ի N 826 որոշմամբ հաստատված «Ավտոմոբիլային և ավիացիոն բենզինին, դիզելային և նավերի համար նախատեսված վառելիքին, ռեակտիվ շարժիչների համար նախատեսված վառելիքին և մազութին ներկայացվող պահանջների մասին» (ՄՄ ՏԿ 013/2011) Մաքսային միության տեխնիկական կանոնակարգի: Վաճառողը Գնորդին ներկայացնում է նաև ապրանքն արտադրողից կամ վերջինիս ներկայացուցչից համապատասխանության սերտիֆիկատ: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Էջմիածնի խճուղի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բայց ոչ ուշ քան 20.11.2026թ.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