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2026.08.25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ԵԲԳԿ-ԷԱՃԱՊՁԲ-26/76</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ЗАО ''ЕРЕВАН''  МНЦ</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Гр. Нерсисян 7</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офтальмологические препараты</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11:00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19</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11:00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19</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Թամարա Հովեսյան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gnumner@yerevanmc.am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+37443671067</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ЗАО ''ЕРЕВАН''  МНЦ</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ԵԲԳԿ-ԷԱՃԱՊՁԲ-26/76</w:t>
      </w:r>
      <w:r w:rsidRPr="00F32D53">
        <w:rPr>
          <w:rFonts w:ascii="Calibri" w:hAnsi="Calibri" w:cstheme="minorHAnsi"/>
          <w:i/>
        </w:rPr>
        <w:br/>
      </w:r>
      <w:r w:rsidRPr="00F32D53">
        <w:rPr>
          <w:rFonts w:ascii="Calibri" w:hAnsi="Calibri" w:cstheme="minorHAnsi"/>
          <w:szCs w:val="20"/>
          <w:lang w:val="af-ZA"/>
        </w:rPr>
        <w:t>2026.08.25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ЗАО ''ЕРЕВАН''  МНЦ</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ЗАО ''ЕРЕВАН''  МНЦ</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офтальмологические препараты</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офтальмологические препараты</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ЗАО ''ЕРЕВАН''  МНЦ</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ԵԲԳԿ-ԷԱՃԱՊՁԲ-26/76</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gnumner@yerevanmc.am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офтальмологические препараты</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2</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Ներաչափումային ոսպյունիկ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EnVista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11:00</w:t>
      </w:r>
      <w:r w:rsidRPr="00F32D53">
        <w:rPr>
          <w:rFonts w:ascii="Calibri" w:hAnsi="Calibri" w:cstheme="minorHAnsi"/>
          <w:lang w:val="ru-RU"/>
        </w:rPr>
        <w:t>" часов "</w:t>
      </w:r>
      <w:r w:rsidR="003955D4" w:rsidRPr="00F32D53">
        <w:rPr>
          <w:rFonts w:ascii="Calibri" w:hAnsi="Calibri" w:cstheme="minorHAnsi"/>
          <w:lang w:val="af-ZA"/>
        </w:rPr>
        <w:t>19</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364.6</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4.3204</w:t>
      </w:r>
      <w:r w:rsidRPr="00F32D53">
        <w:rPr>
          <w:rFonts w:ascii="Calibri" w:hAnsi="Calibri" w:cstheme="minorHAnsi"/>
          <w:szCs w:val="22"/>
        </w:rPr>
        <w:t xml:space="preserve"> драмом, евро </w:t>
      </w:r>
      <w:r w:rsidR="00991780" w:rsidRPr="00F32D53">
        <w:rPr>
          <w:rFonts w:ascii="Calibri" w:hAnsi="Calibri" w:cstheme="minorHAnsi"/>
          <w:lang w:val="af-ZA"/>
        </w:rPr>
        <w:t>425.2</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2026.09.15. 11:00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ЗАО ''ЕРЕВАН''  МНЦ</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ԵԲԳԿ-ԷԱՃԱՊՁԲ-26/76</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ԵԲԳԿ-ԷԱՃԱՊՁԲ-26/76</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'ԵԲԳԿ-ԷԱՃԱՊՁԲ-26/76'</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ԵԲԳԿ-ԷԱՃԱՊՁԲ-26/76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ЗАО ''ЕРЕВАН''  МНЦ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 </w:t>
      </w:r>
      <w:r w:rsidRPr="00F32D53">
        <w:rPr>
          <w:rStyle w:val="Hyperlink"/>
          <w:rFonts w:ascii="Calibri" w:hAnsi="Calibri" w:cstheme="minorHAnsi"/>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"ԵԲԳԿ-ԷԱՃԱՊՁԲ-26/76"*</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наименование отобранного участника</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ЗАО ''ЕРЕВАН''  МНЦ</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ԵԲԳԿ-ԷԱՃԱՊՁԲ-26/76</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крайний срок поставки товаров, предусмотренный заключаемым договором</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lang w:val="en-US"/>
          </w:rPr>
          <w:t>www.procurement.am</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ԵԲԳԿ-ԷԱՃԱՊՁԲ-26/76</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ԵԲԳԿ-ԷԱՃԱՊՁԲ-26/76</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__</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15</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 8.15 Поставка по договору осуществляется в соответствии с Постановлением Правительства Республики Армения № 502-Н от 2 мая 2013 г., *транспортировка, хранение и консервация лекарственных средств должны осуществляться в соответствии с Приказом Министра здравоохранения Республики Армения № 17-Н от 2010 г.
* Срок годности на момент поставки покупателю должен быть следующим:
а. В случае срока годности более 2,5 лет, на момент поставки должен оставаться не менее 24 месяцев остаточного срока годности, для некоторых лекарственных форм срок годности составляет 3 года.
б. Лекарственные средства со сроком годности до 2,5 лет должны иметь 12 месяцев от общего срока годности на момент поставки.
в. В отдельных случаях, а именно при обоснованной необходимости удовлетворения неотложных потребностей пациентов, при коротком сроке годности, установленном для потребления лекарственного средства, лекарственное средство может иметь не менее одного месяца от общего срока годности на момент поставки. 8.16 договора: Если в течение срока действия договора Заказчик не подал заявку на приобретение товара всей партией, то договор расторгается в отношении непоставленной, остаточной партии приобретенного товара. Транспортировка медицинских изделий в аптеку больницы осуществляется поставщиком.</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Ներաչափումային ոսպյունիկ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 Гидрофильный акрил, содержание воды 26%, защита от УФ-излучения, показатель преломления. 1.46 ДИЗАЙН: Монофокальная асферическая оптика без аберраций, квадратный задний край 360°, моноблочная ИОЛ с четырехточечной фиксацией, оптический диаметр: 6,0 мм (от 15,5D до +22,0D), 6,2 мм (от +0,0D до +15,0D), общий диаметр: 11,0 мм (от 0,0D до +15,0D), 10,7 мм (от +15,5D до +22,0D), 10,5 мм (от +22,5D до +30,0D), диоптрийная коррекция: от 0,0D до +30,0D, от 0,0D до +10,0D (шаг 1,0D), от +10,0D до +30,0D (шаг 0,5D), константа*: иммерсионное A-сканирование или IOL Master, A-константа SRK/T: 118,5, ACD: 5,26. Хирургический фактор: 1,51, Константа Хайгиса: a0: 0,83 / a1 0,305 / a2: 0,191, Константа А-сканирования аппланации: 118,0, ACD: 4,96, Хирургический фактор: 1,22. * Константы являются приблизительными значениями. Многоразовый наконечник (BLIS-R1) Отличный контроль со стороны хирурга и простота использования Высококачественный, прочный титановый материал для надежности Винтовая конструкция обеспечивает стабильную и предсказуемую подачу линзы Простая очистка и стерилизация Одноразовый картридж (BLIS-X1) Картридж с задней загрузкой, разработанный для легкой загрузки и плавной подачи Малый размер разреза 2,2–2,4 мм Скошенный наконечник для легкого введения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EnVista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Моноблочная гидрофобная акриловая интраокулярная линза (EnVista MX60E)
МАТЕРИАЛ
Гидрофобный акрил без блеска
Защита от УФ-излучения (10% поглощения: длина волны 389 нм)
Показатель преломления: 1,53 (35°C)
КОНСТРУКЦИЯ
Асферическая оптика без аберраций
Монолитная, двояковыпуклая
Модифицированная С-образная гаптика
Задний край квадратной формы 360°
Гаптика с отверстиями для перфорации
Диаметр оптики: 6,0 мм
Общий диаметр: 12,5 мм
ДИОПТРИИ
0,0D до +10,0D (шаг 1,0D)
+10,0D до +30,0D (шаг 0,5D)
+30,0D до +34,0D (шаг 1,0D)
КОНСТРУКЦИЯ
ОПТИЧЕСКАЯ КОНСТРУКЦИЯ
SRK/T Константа А: 119,1
ACD: 5,61
Хирургический фактор: 1,85
Haigis: a0: 1,46 / a1: 0,40 / a2: 0,10
КОНСТРУКЦИИ УЛЬТРАЗВУКОВОГО ИССЛЕДОВАНИЯ
Константа А: 118,7
ACD: 5,37
Хирургический фактор: 1,62
* Приведены приблизительные значения констант.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Ереван, г-н.․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после получения Заказчиком заказа, при этом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являющегося предметом настоящего договора, не может превышать 2026 год.․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Ереван, г-н.․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после получения Заказчиком заказа, при этом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являющегося предметом настоящего договора, не может превышать 2026 год.․ 30 декабря.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Ներաչափումային ոսպյունիկ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EnVista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