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ՅԱԿ-ԷԱՃԱՊՁԲ-26/79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կենտրոն&gt;&gt; ՓԲԸ-ի կարիքների համար համակարգչային սարքավորումների և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Մադոյան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+37494105130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diana.madoyan@yeolyan.org</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Յոլյան արյունաբանության և ուռուցքաբանության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ՅԱԿ-ԷԱՃԱՊՁԲ-26/79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Յոլյան արյունաբանության և ուռուցքաբանության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Յոլյան արյունաբանության և ուռուցքաբանության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««Յոլյան արյունաբանության և ուռուցքաբանության կենտրոն&gt;&gt; ՓԲԸ-ի կարիքների համար համակարգչային սարքավորումների և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Յոլյան արյունաբանության և ուռուցքաբանության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««Յոլյան արյունաբանության և ուռուցքաբանության կենտրոն&gt;&gt; ՓԲԸ-ի կարիքների համար համակարգչային սարքավորումների և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ՅԱԿ-ԷԱՃԱՊՁԲ-26/79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diana.madoyan@yeolyan.org</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««Յոլյան արյունաբանության և ուռուցքաբանության կենտրոն&gt;&gt; ՓԲԸ-ի կարիքների համար համակարգչային սարքավորումների և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(նոթբուք)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բոլորը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 սկաներ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մետաղալար 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լար 3մ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լար 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Մկնիկի գորգ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TPC to USB փոխարկիչ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Փոխարկիչ USB to RJ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լար տպիչի համար, 3մ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լար տպիչի համար, 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 տպիչի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SFP միացուցիչ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CAT6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Կառավարվող ցանցային կոմուտատոր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(UPS)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(SSD)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Յոլյան արյունաբանության և ուռուցքաբանության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ՅԱԿ-ԷԱՃԱՊՁԲ-26/79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ՅԱԿ-ԷԱՃԱՊՁԲ-26/79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«ՅԱԿ-ԷԱՃԱՊՁԲ-26/79»*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ՅԱԿ-ԷԱՃԱՊՁԲ-26/79*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«ՅԱԿ-ԷԱՃԱՊՁԲ-26/79»*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ՅԱԿ-ԷԱՃԱՊՁԲ-26/79*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&lt;&lt;Յոլյան արյունաբանության և ուռուցքաբանության կենտրոն&gt;&gt; ՓԲԸ-ի կարիքների համար համակարգչային սարքավորումների և պարագաների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0.10</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(նոթբուք)։ Պրոցեսոր (CPU)․ պրոցեսորի տեսակ՝ առնվազն Intel Core i5, պրոցեսորի սերունդ՝ Intel Core (U-series), միջուկների քանակ՝ մինչև առնվազն 10 միջուկ, թելերի քանակ՝ մինչև 12, Cache հիշողություն՝ առնվազն 12 MB L3։ Օպերատիվ հիշողություն (RAM)․ տեսակ՝ առնվազն DDR5 SDRAM, ծավալ՝ առնվազն 8 GB, հաճախականություն՝ առնվազնև 5200 MT/s, սլոտեր՝ առնվազն 2 × SODIMM, հնարավոր ընդլայնում՝ մինչև 32 GB կամ ավելի (կախված կոնֆիգուրացիայից)։ Պահեստային հիշողություն (Storage)․ տեսակ՝ SSD, ինտերֆեյս՝ PCIe NVMe M.2։ Ծավալ՝ 512 GB, բարձր արագությամբ տվյալների ընթերցում և գրառում։ Էկրան (Display)․ չափ՝ 15.6 դյույմ (39.6 սմ), բանաձև՝ Full HD առնվազն (1920 × 1080), պանել՝ IPS, մակերես՝ Anti-glare (մատտ), Narrow bezel դիզայն։ Գրաֆիկական համակարգ․ տեսակ՝ Integrated Graphics։ Անլար կապ՝ առնվազն Wi-Fi 6 (Intel AX201, 2×2), առնվազն Bluetooth 5.2, Miracast աջակցություն, լարային կապ, Gigabit Ethernet (կախված կոնֆիգուրացիայից)։ Մուլտիմեդիա․ բարձր հստակության (HD) վեբ-տեսախցիկ, երկակի ստերեո բարձրախոսներ, երկակի զանգվածային միկրոֆոն (երկու միկրոֆոնից բաղկացած համակարգ)։ Մուտքային/ելքային պորտեր․ առնվազն  1 × USB Type-C պորտ՝ առնվազն 10 Gbps տվյալների փոխանցման արագությամբ, աջակցում է USB Power Delivery, DisplayPort 1.4,  2 × USB Type-A պորտ՝ առնվազն 5 Gbps տվյալների փոխանցման արագությամբ, 1 × AC սնուցման միացման պորտ, 1 × HDMI 1.4b տեսաելք, 1 × ականջակալ/միկրոֆոն համակցված (stereo headphone/microphone combo) 3.5 մմ միակցիչ, Լրաչափ ստեղնաշար,  Թվային ստեղնաշար (NumPad), Բազմաշարժումային (multi-gesture) թաչփադ / հպումային կառավարման վահանակ։ Մարտկոց․ Տեսակ՝ 3-cell Li-ion polymer, Տարողություն՝ 41 Wh, Մարտկոցը ներքին է (չի փոխարինվում օգտագործողի կողմից)։ Բարակ և թեթև կորպուս։  Ապրանքը պետք է լինի նոր և չօգտագործված: Երաշխիքային ժամկետն առնվազն 1 տարի հաշված մատակարարման օրվանից։ Երաշխիքային սպասարկման ապահովում արտադրողի պաշտոնական սպասարկման կենտրոնում, պետք է ունենա առնվազն 2 սպասարկման կենտրոն։ Հրավերով նախատեսված առաջարկվող ապրանքի տեխնիկական բնութագիրը ներկայացնելիս տրամադրվում է նաև սպասարկման կենտրոնի տվյալները և արտադրողի կողմից երաշխիքային նամակ /MAF։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բոլորը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Գործարանային արտադրության մոնոբլոկ համակարգիչ, նախատեսված գրասենյակային և մասնագիտական օգտագործման համար։ Օպերացիոն համակարգը պետք է լինի առնվազն FreeDOS։ Պրոցեսորը պետք է պատկանի առնվազն Intel® Core™ i5 13-րդ սերնդին և ապահովի առնվազն Intel® Core™ i5-1334U մակարդակի արտադրողականություն՝ մինչև 4.6 ԳՀց հաճախականությամբ Intel® Turbo Boost Technology տեխնոլոգիայի կիրառմամբ, առնվազն 12 ՄԲ L3 քեշ հիշողությամբ, առնվազն 10 միջուկով և 12 հոսքով (thread)։ Գրաֆիկական ենթահամակարգը պետք է լինի ինտեգրված և ապահովի առնվազն Intel® Iris® Xe Graphics մակարդակի հնարավորություններ։ Օպերատիվ հիշողությունը պետք է լինի առնվազն 8 ԳԲ DDR4՝ 3200 MT/s արագությամբ։ Համակարգիչը պետք է ունենա առնվազն 2 հատ SODIMM հիշողության բնիկ՝ հետագա ընդլայնման հնարավորությամբ։ Ներքին պահեստային համակարգը պետք է ներառի առնվազն 512 ԳԲ PCIe® NVMe™ SSD կուտակիչ։ Էկրանը պետք է լինի առնվազն 23.8 դյույմ անկյունագծով, FHD (1920 × 1080) թույլատրելիությամբ, IPS տեխնոլոգիայով, երեք կողմերից բարակ շրջանակով (Three-Sided Micro-Edge), հակափայլային (Anti-Glare) ծածկույթով, առնվազն 250 նիտ պայծառությամբ և առնվազն 72% NTSC գունային ծածկույթով։ Համակարգիչը պետք է ապահովի անլար կապի հնարավորություններ՝ առնվազն Wi-Fi 6 (2×2) և Bluetooth® 5.3 աջակցությամբ։ Լարային ցանցային ինտերֆեյսը պետք է լինի առնվազն Gigabit Ethernet (10/100/1000 Մբիթ/վրկ)։ Սարքը պետք է հագեցած լինի առնվազն 5 ՄՊ լուծաչափով վեր բարձրացվող (Pull-Up) տեսախցիկով, որն ունի առնվազն երկու թվային միկրոֆոններից կազմված միկրոֆոնային համակարգ (Dual Array Digital Microphones)։ Աուդիո համակարգը պետք է հիմնված լինի առնվազն Realtek ALC3274 աուդիո կոդեկի կամ համարժեք լուծման վրա և ներառի բարձր արդյունավետությամբ ներկառուցված բարձրախոսներ, համակցված ականջակալ/միկրոֆոն միակցիչ, ինչպես նաև 3.5 մմ Line-In և Line-Out աուդիո պորտեր։ Համակարգչի հետ պետք է մատակարարվի համակարգչի մոդելին համապատասխան լարային ստեղնաշար և լարային մկնիկ։ Ընդլայնման հնարավորությունները պետք է ներառեն առնվազն 1 հատ M.2 2230 բնիկ WLAN մոդուլի համար, առնվազն 1 հատ M.2 2280 բնիկ SSD պահեստավորման համար և առնվազն 1 SATA պահեստային միակցիչ։ Սարքը պետք է աջակցի առնվազն մեկ 2.5 դյույմանոց կոշտ սկավառակի (HDD) տեղադրման հնարավորությանը։ Միացման պորտերը պետք է ներառեն առնվազն՝ 1 × USB Type-C® (5 Գբիթ/վրկ), 2 × USB Type-A (5 Գբիթ/վրկ), 2 × USB 2.0 Type-A, 1 × HDMI 1.4, 1 × RJ-45 Gigabit Ethernet, 1 × համակցված ականջակալ/միկրոֆոն միակցիչ, 1 × սնուցման միակցիչ։ Սնուցումը պետք է իրականացվի առնվազն 90 Վտ արտաքին սնուցման ադապտորի միջոցով։ Ապրանքը պետք է լինի նոր և չօգտագործված: Երաշխիքային ժամկետն առնվազն 1 տարի հաշված մատակարարման օրվանից։ Երաշխիքային սպասարկման ապահովում արտադրողի պաշտոնական սպասարկման կենտրոնում, պետք է ունենա առնվազն 2 սպասարկման կենտրոն։ Հրավերով նախատեսված առաջարկվող ապրանքի տեխնիկական բնութագիրը ներկայացնելիս տրամադրվում է նաև սպասարկման կենտրոնի տվյալները և արտադրողի կողմից երաշխիքային նամակ /MAF։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նախատեսված բարձր որակի վիդեոմոնտաժի համար։ Մայր սալիկ (Motherboard)՝ առնվազն DDR4, պրոցեսոր (CPU)՝ առնվազն i7-12700K 12-րդ սերունդ, 12 միջուկ (8 Performance + 4 Efficient), 20 հոսք (Threads), առնվազն մինչև 5.0 ԳՀց Turbo Boost տեխնոլոգիայով, պրոցեսորի հովացման համակարգ՝ L120 հեղուկ հովացման համակարգ (120 մմ)։ Օպերատիվ հիշողություն (RAM)՝ առնվազն 32 ԳԲ DDR4 (2 × 16 ԳԲ), վիդեոքարտ (GPU)՝ առնվազն GeForce RTX 5060, 8 ԳԲ GDDR6 հիշողություն, Ray Tracing և DLSS 3 տեխնոլոգիաների աջակցություն, CUDA միջուկների աջակցություն՝ Adobe Premiere Pro-ի և այլ մասնագիտական ծրագրերի արագ աշխատանքի համար։ Պահեստ (SSD)՝ առնվազն 1 ՏԲ NVMe M.2 SSD, PCIe NVMe առնվազն 7000 ՄԲ/վ ընթերցման արագություն։ Սնուցման բլոկ (PSU), Pred 750 Վտ սերտիֆիկացված 80 plus  gold։ Ապրանքը պետք է լինի նոր և չօգտագործված։ Երաշխիքային ժամկետն առնվազն 1 տարի հաշված մատակարարման օրվանից։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wifi սարք։ Ցանցային ինտերֆեյս` (1) GbE RJ45 por, կառավարման ինտերֆեյս` Ethernet, էլեկտրաէներգիայի մեթոդ` PoE, աջակցվող լարման միջակայք առավելագույնը՝ 44–57V DC, էլեկտրաէներգիայի սպառում՝ 9W։  Մաքս. TX հզորություն՝ նվազագույնը 2.4 GHz / 23 dBm, 5 GHz/ 23 dBm, MIMO նվազագույնը  2.4 GHz / 2 x 2, 5 GHz/ 2 x 2, Արտադրողականության արագությունը՝ 2.4 GHz/573.5 Mbps, 5 GHz/ 2402 Mbps, ալեհավաք՝  2.4 GHz /3 dBi, 5 GHz /5.4 dBi, LED Սպիտակ/կապույտ,  գործարանային վերականգնման կոճակ։ Պատի/առաստաղի ամրացում (ներառված է), WiFi ստանդարտներ՝ 802.11a/b/g, WiFi 4/WiFi 5/WiFi 6, Անլար անվտանգություն՝ WPA-PSK, WPA-Enterprise (WPA/WPA2/WPA3), BSSID 8 per radio, VLAN 802.1Q։ Աջակցվում է Guesttrafc մեկուսացումը, միաժամանակյա հաճախորդներ 300+։ Արտաքին նյութերը․ վերին ծածկը՝ պոլիկարբոնատ, ներքևի ծածկը՝ ալյումին, Մոնտաժման նյութեր, ABS, SGCC steel, Տուփում պետք է առկա լինի հոսանքին միացման փոխարկիչ։  Երաշխիքային ժամկետն առնվազն 1 տարի հաշված մատակարարման օրվանից։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 տպիչ, ինտերֆեյսը՝ USB/Bluethoot (ընտրության հնարավորությամբ), տպման հրաման՝ TSPL (CPCL/ESC/POS հրամաններ ընտրության հնարավորությամբ), տպման մեթոդը՝ Direct Lane terminal, տպման արագությունը՝ առնվազն 120mm/sec, TPH Life 50KM, որակը՝ նվազագույնը 230dpi, ներքին ծածկագիր պետք է ապահովի առնվազն 11 տեսակ տառաչափ, տպման պարամետրեր՝ պետք է ապահովի «ներբեռնել լոգո ապրանքանիշ», մեդիա սենսորը`  կրկնակի մեդիա սենսոր փոխանցող և ռեֆլեկտիվ, օպերացիոն համակարգերը՝ Windows/Mac։ Թղթի տեսակը` շարունակական թուղթ, պիտակի կպչուն թուղթ, պիտակի թուղթ, փաթեթավորման թուղթ։ Արդյունավետ տպման չափեր՝ առնվազն 20-80մմ տիրույթում։ Թղթի պահոցի տրամագիծը՝ 100մմ±5%։ Թղթի հաստությունը՝ առնվազն 0.06-0.3մմ։ Երաշխիքային ժամկետն առնվազն 1 տարի հաշված մատակարարման օրվանից։ Երաշխիքային սպասարկման ապահովում արտադրողի պաշտոնական սպասարկման կենտրոնում, պետք է ունենա առնվազն 1 սպասարկման կենտրոն։ Հրավերով նախատեսված առաջարկվող ապրանքի տեխնիկական բնութագիրը ներկայացնելիս տրամադրվում է նաև սպասարկման կենտրոնի տվյալները և արտադրողի կողմից երաշխիքային նամակ /MAF։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 սկաներ, սկանավորման տեսակը՝ CMOS, կարմիր LED լույս՝ առնվազն 525±10nm /aim/, 5600K LEDs /Lighting/, ընդհանուր ազդեցության տեսախցիկ, որը լուսավորության պայծառությունը ինքնաբերաբար կփոխի՝ ըստ ընթերցման հեռավորության։ Առնվազն CPU 32bit, պիքսելներ՝ առնվազն 640*480, սկանավորման որակը ≥ 3mil/ 0.076mm /PCS90%, CODE 39/, վերծանման արագությունը՝ առնվազն 65CM/S, սկանի տեսողությունը՝ առնվազն 41°*31° տիրույթում, խորությունը՝ առնվազն 30-60մմ տիրույթում, սկանի ռեժիմները՝ ձեռքով, ավտոմատ և շարունակական, սկանի անկյունը` պտույտ /roll/ ±360°, pitch ±60° կամ ավելի մեծ, yaw ±55° կամ ավելի մեծ։ տպման կոնտրաստի արձագանքը՝ ±15%, շրջակա լույսը՝ մութ միջավայր, ներսում բնական լույս։ Սիմվոլիկան՝ պետք է ապահովի 1D:UPC-A, UPC-E, EAN-8, EAN-13, Code 128, GS-128, Code 93, Code 11, interleaved 2 of 5, Matrix, 2 of 5, Industrial 2 of 5,  /straight 2 of 5/, Standart 2 of 5 /IATA 2 of 5/ Codabar /NW-7/ MSI, GS1 Databar /Omnidirectional, Limited, Expanded/, China PostTepepen, Febraban, GS1 Composite, Japan post, postnet etc.  2D QR code, micro QR, data matrix, PDF 417, microPDF։  Երաշխիքային ժամկետն առնվազն 1 տարի հաշված մատակարարման օրվանից։ Երաշխիքային սպասարկման ապահովում արտադրողի պաշտոնական սպասարկման կենտրոնում, պետք է ունենա առնվազն 1 սպասարկման կենտրոն։ Հրավերով նախատեսված առաջարկվող ապրանքի տեխնիկական բնութագիրը ներկայացնելիս տրամադրվում է նաև սպասարկման կենտրոնի տվյալները և արտադրողի կողմից երաշխիքային նամակ /MAF։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մետաղալար 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CAT6 ցանցային մետաղալար, երկարությունը՝ 5մ, RJ45 միակցիչներով, մինչև 250 ՄՀց թողունակության աջակցությամբ ոսկեգույն կոնտակտներով Ethernet ստանդարտների համար՝ մինչև 1GBase-T: Գույնը՝ մոխրագույն։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լար 3մ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2.0 լար, Extension, AM/AF, երկարությունը՝ 3մ։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լար 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2.0 լար, Extension, AM/AF, երկարությունը՝ 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Մկնիկի գորգ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Մկնիկի գորգ նախատեսված է օպտիկական և լազերային մկնիկների արդյունավետ և ճշգրիտ աշխատանքն ապահովելու համար: Բարձր որակի խիտ կտոր / կտորե մակերես (Fabric / Cloth surface), որն ապահովում է մկնիկի սահուն և հարթ շարժումը: Հակասահող ռետինե կամ կաուչուկե հիմք (Anti-slip rubber base), որը կանխում է գորգի տեղաշարժը սեղանի մակերեսին աշխատելու ընթացքում: Երկարությունը՝ 220-250 մմ, լայնությունը՝ 180-210 մմ, հաստությունը՝ 2-3 մմ։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TPC to USB 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TPC to USB փոխարկիչ 3 բնիկով+HDM։ USB C to HDMI Adapter, Type-C to 4K HDMI with 100W PD and USB 3.0 Port, Digital AV Multiport Adapter for MacBook Pro/Air, iPad Pro/Air, iPhone 15Pro/16, Switch, Tablets and More USB-C Devices։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Փոխարկիչ USB to RJ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Փոխարկիչ USB to RJ 45։ Cable Matters Plug and Play USB to Ethernet Adapter - Support PXE and MAC Address Clone -10/100 Mbps Ethernet to USB 2.0 Adapter for Laptop - NO Power/Charging.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լար տպիչի համար, 3մ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Print USB cable Am to BM (Type-A to Type-B), երկարությունը՝ 3մ։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լար տպիչի համար, 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Print USB cable Am to BM (Type-A to Type-B), երկարությունը՝ 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 տպիչի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Բարկոդ տպիչի համար նախատեսված ջերմային ինքնակպչուն պիտակ, 58mm X 30mm, թոփ բարձր կպչողականությամբ։ Մեկ փաթաթանի մեջ 600 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SFP միացուցիչ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SFP connector, 1 G single mode։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CAT6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CAT6 UTP Stranded Wire Ethernet Cable։ Կիրառման ոլորտը՝ շարժական (Mobile), մալուխի արտաքին տրամագիծը՝ 7.5 մմ, ազդանշանի տեսակը՝ Ethernet, ստանդարտ փաթեթավորման երկարությունը՝ 305 մ։ Ստանդարտներ և համապատասխանություն․ հղման ստանդարտ՝ EN 50363, համապատասխանություն՝ 2011/65/EU (RoHS) դիրեկտիվին։ Մեխանիկական տվյալներ․ նվազագույն աշխատանքային ջերմաստիճանը՝ առնվազն -15°C, առավելագույն աշխատանքային ջերմաստիճանը՝ առնվազն +80°C, քաշը՝ առնվազն 6.40 կգ/100 մ։ Հաղորդիչ՝ նյութը՝ մերկ պղինձ (Bare Copper), հատույթի մակերեսը՝ 0.22 մմ², չափը՝ 24 AWG։ Ներքին պատյան՝ նյութը՝ PVC (պոլիվինիլքլորիդ)։ Արտաքին պատյան․ գույնը՝ սև, նյութը՝ PVC (պոլիվինիլքլորիդ)։ Ապրանքը պետք է լինի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Single Mode OS2 fiber։ Ապրանքը պետք է լինի նոր և չօգտագործված։ Երաշխիքային ժամկետը առնվազն 1 տարի հաշված մատակարարման օրվանից։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Կառավարվող ցանցային կոմուտատոր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Կառավարվող ցանցային կոմուտատոր՝ առնվազն 16 հատ 10G SFP+ բնիկով, 1 հատ RJ45 Console պորտով և 1 հատ Micro-USB Console պորտով, առնվազն 1 օդափոխիչով, ֆիզիկական անվտանգության կողպեքի հնարավորությամբ։ Սնուցումը՝ 1+1 ռեզերվային ներքին սնուցման աղբյուր, մուտքային լարումը՝ 100–240 Վ, 50/60 Հց։ Չափսերը՝ առավելագույնը 440 × 220 × 44 մմ (Լ × Խ × Բ), սերվերային պահարանում տեղադրման (Rack Mountable) հնարավորությամբ։ Առավելագույն էներգասպառումը՝ ոչ ավելի, քան 32.7 Վտ, առավելագույն ջերմատվությունը՝ ոչ ավելի, քան 111.18 BTU/ժամ։ Փաթեթների բուֆերային հիշողությունը՝ առնվազն 24 Մբիթ, Jumbo Frame՝ առնվազն 9 ԿԲ, կոմուտացիոն թողունակությունը՝ առնվազն 320 Գբիթ/վրկ, փաթեթների փոխանցման արագությունը՝ առնվազն 238.08 Mpps, MAC հասցեների աղյուսակը՝ առնվազն 32K։ Ծառայության որակի (QoS) հնարավորությունները՝ առնվազն 8 առաջնահերթության հերթ, 802.1p CoS/DSCP առաջնահերթության աջակցություն, SP (Strict Priority), WRR (Weighted Round Robin) և SP+WRR հերթերի պլանավորում, պորտի կամ հոսքի վրա հիմնված թողունակության/արագության սահմանափակում, QoS վերանշագրման՝ 802.1P Remark և DSCP Remark աջակցություն։ L2 և L2+ գործառույթները՝ առնվազն 128 IPv4/IPv6 IP ինտերֆեյս, առնվազն 48 IPv4/IPv6 ստատիկ երթուղի, առնվազն 128 Static ARP գրառում, առնվազն 512 ARP գրառում, Proxy ARP, Gratuitous ARP, DHCP Server, DHCP Relay՝ ներառյալ DHCP Interface Relay և DHCP VLAN Relay, DHCP L2 Relay, Link Aggregation, Spanning Tree Protocol, Loopback Detection, 802.3x Flow Control և Mirroring։ L2 Multicast գործառույթները՝ առնվազն 4,000 IPv4/IPv6 IGMP խմբերի աջակցություն, IGMP Snooping, IGMP Authentication, Multicast VLAN Registration (MVR), MLD Snooping և Multicast Filtering՝ առնվազն 256 պրոֆիլով և յուրաքանչյուր պրոֆիլում առնվազն 16 գրառումով։ Ընդլայնված կառավարման հնարավորությունները՝ սարքերի ավտոմատ հայտնաբերում, խմբաքանակային կարգավորում, ներկառուցված ծրագրային ապահովման խմբաքանակային թարմացում, ցանցի ինտելեկտուալ մոնիթորինգ, աննորմալ իրադարձությունների վերաբերյալ նախազգուշացում, միասնական կարգավորում և պլանավորված վերագործարկում։ ISP գործառույթները՝ L2PT (Layer 2 Protocol Tunneling), DLDP (Device Link Detect Protocol), PPPoE ID Insertion, ERPS, 802.3ah Ethernet Link OAM, DDM և sFlow։ VLAN հնարավորությունները՝ 802.1Q VLAN՝ առնվազն 4K VLAN խմբերի աջակցությամբ, 802.1Q Tagged VLAN, MAC VLAN՝ առնվազն 30 գրառում, Protocol VLAN՝ առնվազն 16 պրոտոկոլային ձևանմուշ և 12 Protocol VLAN, Private VLAN, GVRP, VLAN VPN (QinQ)՝ Port-Based QinQ և Selective QinQ, ինչպես նաև Voice VLAN։ Մուտքի վերահսկման ցուցակների (ACL) հնարավորությունները՝ Time-based ACL, MAC ACL՝ Source MAC, Destination MAC, VLAN ID, User Priority և Ether Type պարամետրերով, IP ACL՝ Source IP, Destination IP, Fragment, IP Protocol, TCP Flag, TCP/UDP Port և DSCP/IP TOS պարամետրերով, Combined ACL, Packet Content ACL և IPv6 ACL, քաղաքականությունների՝ Mirroring, Redirect, Rate Limit և QoS Remark աջակցությամբ, ACL-ի՝ Port/VLAN մակարդակով կիրառման հնարավորությամբ։ Անվտանգության հնարավորությունները՝ IP-MAC-Port Binding՝ առնվազն 512 գրառում, DHCP Snooping, ARP Inspection, IPv4 Source Guard, IPv6-MAC-Port Binding՝ առնվազն 512 գրառում, DHCPv6 Snooping, ND Detection, ND Snooping, IPv6 Source Guard, DoS հարձակումներից պաշտպանություն, ստատիկ/դինամիկ պորտային անվտանգություն՝ յուրաքանչյուր պորտի համար առնվազն 64 MAC հասցեի աջակցությամբ, Broadcast/Multicast/Unicast Storm Control՝ kbps/հարաբերակցության կառավարման ռեժիմով, 802.1X՝ պորտի և MAC հասցեի վրա հիմնված նույնականացմամբ, VLAN Assignment, MAB, Guest VLAN, RADIUS նույնականացման և հաշվառման աջակցություն, AAA՝ ներառյալ TACACS+, Port Isolation, HTTPS-ի միջոցով անվտանգ վեբ կառավարում՝ TLS 1.2 կամ ավելի բարձր տարբերակի աջակցությամբ, անվտանգ հրամանային տողի ինտերֆեյսի (CLI) կառավարում SSH-ի միջոցով, ինչպես նաև IP/Port/MAC-ի վրա հիմնված մուտքի վերահսկում։ IPv6 հնարավորությունները՝ IPv4/IPv6 Dual Stack, MLD Snooping, IPv6 ACL, IPv6 Interface, Static IPv6 Routing, IPv6 Neighbor Discovery (ND), Path MTU Discovery, ICMPv6, TCPv6/UDPv6, ինչպես նաև DHCPv6 Client, Ping6, Tracert6, Telnet IPv6, IPv6 SNMP, IPv6 SSH, IPv6 SSL, HTTP/HTTPS և IPv6 TFTP աջակցություն։ MIB-երի աջակցությունը՝ առնվազն MIB II (RFC1213), Interface MIB (RFC2233), Ethernet Interface MIB (RFC1643), Bridge MIB (RFC1493), P/Q-Bridge MIB (RFC2674), RMON MIB (RFC2819), RMON2 MIB (RFC2021), Radius Accounting Client MIB (RFC2620), Radius Authentication Client MIB (RFC2618), Remote Ping/Traceroute MIB (RFC2925)։ Կառավարման հնարավորությունները՝ կենտրոնացված ապարատային, ծրագրային կամ ամպային կառավարման հարթակի աջակցություն, ամպային հասանելիություն, Zero-Touch Provisioning, վեբի վրա հիմնված գրաֆիկական կառավարման ինտերֆեյս (Web-based GUI), հրամանային տողի ինտերֆեյս (CLI)՝ Console պորտի և Telnet-ի միջոցով, SNMP v1/v2c/v3՝ Trap/Inform և RMON աջակցությամբ, SDM Template, DHCP/BOOTP Client, 802.1ab LLDP/LLDP-MED, DHCP Auto Install, Dual Image, Dual Configuration, CPU Monitoring, Password Recovery, SNTP և System Log։ Սարքավորումը պետք է ունենա առնվազն CE, FCC և RoHS համապատասխանություն/հավաստագրում։ Կոմպլեկտավորումը պետք է ներառի՝ ցանցային կոմուտատոր, համապատասխան սնուցման մալուխ(ներ), Console մալուխ, 19 դյույմանոց սերվերային պահարանում տեղադրման/ամրացման լրակազմ (Rackmount Kit), ռետինե հենակներ և տեղադրման ուղեցույց։ Սարքը պետք է ապահովի Microsoft Windows, macOS, UNIX և Linux միջավայրերում կառավարման/շահագործման համատեղելիություն։ Աշխատանքային ջերմաստիճանը՝ առնվազն -5°C-ից մինչև +45°C միջակայքում, պահպանման ջերմաստիճանը՝ առնվազն -40°C-ից մինչև +70°C միջակայքում, աշխատանքային հարաբերական խոնավությունը՝ 10–90%՝ առանց խտացման, պահպանման հարաբերական խոնավությունը՝ 5–90%՝ առանց խտացման։ Առաջարկվող սարքավորումը պետք է լինի նոր, չօգտագործված, գործարանային արտադրության, ամբողջությամբ համապատասխանի ներկայացված տեխնիկական պահանջներին կամ գերազանցի դրանք և մատակարարվի արտադրողի կողմից նախատեսված ամբողջական կոմպլեկտավորմամբ։ Ապրանքը պետք է լինի նոր և չօգտագործված: Երաշխիքային ժամկետն առնվազն 1 տարի հաշված մատակարարման օրվանից։ Երաշխիքային սպասարկման ապահովում արտադրողի պաշտոնական սպասարկման կենտրոնում, պետք է ունենա առնվազն 2 սպասարկման կենտրոն։ Հրավերով նախատեսված առաջարկվող ապրանքի տեխնիկական բնութագիրը ներկայացնելիս տրամադրվում է նաև սպասարկման կենտրոնի տվյալները և արտադրողի կողմից երաշխիքային նամակ /MAF։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(UPS)՝ Line Interactive տեխնոլոգիայով, հզորությունը՝ 1000 ՎԱ / 600 Վտ։ Մուտքային տվյալներ (Input)․ անվանական մուտքային լարումը՝ 220 Վ AC, մուտքային լարման միջակայքը՝ 162–290 Վ AC, հաճախականության միջակայքը՝ 50/60 Հց։ Ելքային տվյալներ (Output)․ ելքային լարումը՝ 220 Վ AC, լարման կարգավորում մարտկոցից աշխատանքի ռեժիմում՝ ±10%, հաճախականության կարգավորում մարտկոցից աշխատանքի ռեժիմում՝ 50/60 Հց ±1 Հց, փոխանցման տիպային ժամանակը (Typical Transfer Time)՝ 2–6 մվ, ելքային ազդանշանի ձևը մարտկոցից աշխատանքի ռեժիմում՝ մոդիֆիկացված սինուսոիդ (Modified Sine Wave)։ Մարտկոց (Battery)․ մարտկոցի տեսակը և քանակը՝ 1 հատ 12 Վ / 9 Աժ (1 × 12V/9Ah), մարտկոցի լիցքավորման տիպային ժամանակը (Typical Recharge Time)՝ 6–8 ժամ՝ մինչև 90% լիցքավորման մակարդակ։ Պաշտպանություն (Protection)․ գերբեռնվածությունից պաշտպանություն (Overload Protection), կարճ միացումից պաշտպանություն (Short Circuit Protection), մարտկոցի խորը լիցքաթափումից պաշտպանություն (Battery Deep Discharge Protection) և գերլիցքավորումից պաշտպանություն (Overcharge Protection)։ Ներկառուցված լարման ավտոմատ կարգավորման համակարգ՝ AVR (Automatic Voltage Regulation), լայն մուտքային լարման միջակայքի աջակցություն և գեներատորի հետ համատեղելիություն։ Ցուցադրում և ազդանշաններ․ LCD էկրան՝ UPS-ի աշխատանքային վիճակի և համապատասխան աշխատանքային պարամետրերի ցուցադրմամբ, ձայնային ազդանշանային համակարգ։ Միացումներ․ 2 հատ ունիվերսալ ելքային վարդակ (2 × Universal Output Sockets)։ Սարքը նախատեսված է միացված էլեկտրական սարքավորումների անխափան սնուցման ապահովման, մուտքային լարման տատանումների կարգավորման և էլեկտրամատակարարման խափանումներից ու էլեկտրական ցանցի հետ կապված համապատասխան վտանգներից պաշտպանության համար։ Ապրանքը պետք է լինի նոր և չօգտագործված: Երաշխիքային ժամկետն առնվազն 1 տարի հաշված մատակարարման օրվանից։ Երաշխիքային սպասարկման ապահովում արտադրողի պաշտոնական սպասարկման կենտրոնում, պետք է ունենա առնվազն 2 սպասարկման կենտրոն։ Հրավերով նախատեսված առաջարկվող ապրանքի տեխնիկական բնութագիրը ներկայացնելիս տրամադրվում է նաև սպասարկման կենտրոնի տվյալները և արտադրողի կողմից երաշխիքային նամակ /MAF։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(SSD)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(SSD), առնվազն 512Gb SATA3, (SKC600/512G), SSD SATA3 2.5", Կարդալու արագությունը՝ առնվազն 550MB/s (90000 IOPS), գրելու արագությունը՝ առնվազն 520MB/s (80000 IOPS), 300TB TBW, 2 million hours MTBF, 3D NAND: TLC Flash memory component, TRIM support․ Ապրանքը պետք է լինի նոր և չօգտագործված։  Երաշխիքային ժամկետն առնվազն 1 տարի հաշված մատակարարման օրվանից։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և համաձայնագրի կնքումից հետո՝ 20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