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ԷԱՃԱՊՁԲ-2026/1-4-ԵՊԲՀ</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“Ереванский Медицинский Государственный Университет имени Мхитара Гераци”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Корюна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нужд EГМУ в рамках проекта с кодом 25RG-3A048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Միքայել Ղարիբյան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marketing.ysmu8@gmail.com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010301000(438)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“Ереванский Медицинский Государственный Университет имени Мхитара Гераци”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ԷԱՃԱՊՁԲ-2026/1-4-ԵՊԲՀ</w:t>
      </w:r>
      <w:r>
        <w:rPr>
          <w:rFonts w:ascii="Calibri" w:hAnsi="Calibri" w:cstheme="minorHAnsi"/>
          <w:i/>
        </w:rPr>
        <w:br/>
      </w:r>
      <w:r>
        <w:rPr>
          <w:rFonts w:ascii="Calibri" w:hAnsi="Calibri" w:cstheme="minorHAnsi"/>
          <w:szCs w:val="20"/>
          <w:lang w:val="af-ZA"/>
        </w:rPr>
        <w:t>2026.09.01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“Ереванский Медицинский Государственный Университет имени Мхитара Гераци”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нужд EГМУ в рамках проекта с кодом 25RG-3A048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нужд EГМУ в рамках проекта с кодом 25RG-3A048</w:t>
      </w:r>
      <w:r>
        <w:rPr>
          <w:rFonts w:ascii="Calibri" w:hAnsi="Calibri" w:cstheme="minorHAnsi"/>
          <w:b/>
          <w:lang w:val="ru-RU"/>
        </w:rPr>
        <w:t xml:space="preserve">ДЛЯ НУЖД  </w:t>
      </w:r>
      <w:r>
        <w:rPr>
          <w:rFonts w:ascii="Calibri" w:hAnsi="Calibri" w:cstheme="minorHAnsi"/>
          <w:b/>
          <w:sz w:val="24"/>
          <w:szCs w:val="24"/>
          <w:lang w:val="af-ZA"/>
        </w:rPr>
        <w:t>Фонд “Ереванский Медицинский Государственный Университет имени Мхитара Гераци”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ԷԱՃԱՊՁԲ-2026/1-4-ԵՊԲՀ</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marketing.ysmu8@gmail.com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нужд EГМУ в рамках проекта с кодом 25RG-3A048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“Ереванский Медицинский Государственный Университет имени Мхитара Гераци”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"ԷԱՃԱՊՁԲ-2026/1-4-ԵՊԲՀ"</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ԷԱՃԱՊՁԲ-2026/1-4-ԵՊԲՀ*.</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"ԷԱՃԱՊՁԲ-2026/1-4-ԵՊԲՀ"</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“Ереванский Медицинский Государственный Университет имени Мхитара Гераци”*(далее — Заказчик) процедуре закупок под кодом ԷԱՃԱՊՁԲ-2026/1-4-ԵՊԲՀ*.</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“Ереванский Медицинский Государственный Университет имени Мхитара Гераци”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ԷԱՃԱՊՁԲ-2026/1-4-ԵՊԲՀ</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Корюна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