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ABH-EAAPDzB-26/133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ABH-EAAPDzB-26/133</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ABH-EAAPDzB-26/133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"ABH-EAAPDzB-26/133"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"ABH-EAAPDzB-26/133"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ABH-EAAPDzB-26/133*.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ABH-EAAPDzB-26/133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Обслуживаемая площадь: 21–30 м²
Размер наружного блока (В×Ш×Г), см: 50,3×68,8×26,2 — допустимое отклонение ±2 см
Класс энергоэффективности: A+
Потребляемая мощность (охлаждение/обогрев), кВт: 0,8/0,75
Мощность: 9000 BTU
Основные режимы: обогрев/охлаждение
Диаметр соединительных труб (газ/жидкость), дюйм: 3/8–1/4
Минимальная температура работы в режиме обогрева: от -15 °C до +30 °C
Тепловая мощность, кВт: 2,6
Холодопроизводительность, кВт: 2,5
Тип: инверторный
Тип хладагента: R32
Цвет: белый
Бренд: «LG», «HISENSE», «BERG», «BOSCH», «MIDEA»
Разгрузка и установка товара осуществляются продавцом.
Гарантия — не менее 2 лет.
Технические проблемы, выявленные в течение гарантийного срока, должны быть устранены за счет поставщика в течение не более 5 дней, а в случае замены деталей — в соответствии с предоставленными гарантийными условиями.
Наличие сертификата соответствия товара является обязательным.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Основные режимы: обогрев, охлаждение
Мощность в режиме охлаждения/обогрева: 12000 BTU
Потребляемая мощность в режиме охлаждения: 2150 Вт/ч
Потребляемая мощность в режиме обогрева: 2060 Вт/ч
Обслуживаемая площадь: 35–40 м²
Рабочая температура: от -15 °C до +30 °C
Гарантия: не менее 2 лет
Комплектация включает:
Внутренний блок — 1 шт.
Наружный блок — 1 шт.
Трубы, крепления
Цвет: белый
Бренд: «LG», «HISENSE», «BERG», «BOSCH», «MIDEA»
Разгрузка и установка товара осуществляются продавцом.
Технические проблемы, выявленные в течение гарантийного срока, должны быть устранены за счет поставщика в течение не более 5 дней, а в случае замены деталей — в соответствии с предоставленными гарантийными условиями.
Наличие сертификата соответствия товара является обязательным.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