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ՊԵԿ-ԷԱՃԱՊՁԲ-2026/14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ԱՄԲՈՂՋԸ ՄԵԿՈՒՄ ՀԱՄԱԿԱՐԳԻՉՆԵՐ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Սպարտակ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spartak_harutyunyan@taxservice.am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ՊԵԿ-ԷԱՃԱՊՁԲ-2026/14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ԱՄԲՈՂՋԸ ՄԵԿՈՒՄ ՀԱՄԱԿԱՐԳԻՉՆԵՐ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ԱՄԲՈՂՋԸ ՄԵԿՈՒՄ ՀԱՄԱԿԱՐԳԻՉՆԵՐ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ՊԵԿ-ԷԱՃԱՊՁԲ-2026/14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spartak_harutyunyan@taxservice.am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ԱՄԲՈՂՋԸ ՄԵԿՈՒՄ ՀԱՄԱԿԱՐԳԻՉՆԵՐ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15</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 ՊԵԿ-ԷԱՃԱՊՁԲ-2026/14</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ՊԵԿ-ԷԱՃԱՊՁԲ-2026/14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 ՊԵԿ-ԷԱՃԱՊՁԲ-2026/14</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 ՊԵԿ-ԷԱՃԱՊՁԲ-2026/14»*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պետական եկամուտների կոմիտե»</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ՊԵԿ-ԷԱՃԱՊՁԲ-2026/14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ՖՆ աշխատակազմի գործառնական վարչություն 900008000466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«ՀՀ ՊԵԿ-ԷԱՃԱՊՁԲ-2026/14»*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պետական եկամուտների կոմիտե»</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 ՊԵԿ-ԷԱՃԱՊՁԲ-2026/14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 ՊԵԿ-ԷԱՃԱՊՁԲ-2026/14</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Իրանի տեսակը՝ ամբողջը մեկում (All-in-One) 
•	Պրոցեսորը՝ առնվազն 2.2 GHz բազային հաճախականությամբ, առնվազն 4,1 GHz հաճախականության բարձրացման հնարավորությամբ (2,2 GHz base frequency, Up to 4.1 GHz max. turbo frequency with Turbo Boost), առնվազն 12-րդ սերնդի, միջուկների քանակը` առնվազն 4, հոսքերի քանակը` առնվազն 8, քեշ հիշողություն՝ առնվազն 12MB։
•	Օպերատիվ հիշողություն՝ առնվազն 16GB
•	Առնվազն 256 GB ծավալով SSD սկավառակ: 
•	Պետք է աջակցի նաև առնվազն 1 հատ SATA storage connector։
•	Գրաֆիկական քարտ՝ ներկառուցված integrated UHD Graphics:
•	Էկրանը՝ առնվազն 23.8" անկյունագծով, (IPS կամ OLED կամ WVA), առնվազն FHD, Anti-glare display (1920 x 1080; 23.8-inch diagonal widescreen IPS Full HD anti-glare display):
•	Ներկառուցված տեսախցիկ՝ առնվազն 5MP, ներկառուցված բարձրախոսով
•	Ներկառուցված ցանցային բնիկ – RJ-45 (network jack) – Gigabit Ethernet աջակցմամբ (Gigabit Ethernet support)
•	Անհրաժեշտ այլ պորտեր՝ առնվազն 4 հատ USB պորտ, առնվազն 1 հատ combo jack բարձրախոսի (ականջակալերի) և խոսափողի համար (for headphones and microphone)
•	Անվտանգություն (Security) – Trusted Platform Module (TPM) առնվազն 2.0 (firmware)
•	Օպերացիոն համակարգի առկայությունը պարտադիր չէ, իսկ առաջարկվող համակարգիչը պետք է համատեղելի լինի Windows 11 Pro –ի հետ
•	Առնվազն 1 հատ USB օպտիկական մկնիկ (optical mouse) 
•	Առնվազն 1 հատ USB ստեղնաշար (keyboard)
ԱՅԼ ՊԱՅՄԱՆՆԵՐ
•	Ապրանքները պետք է լինեն չօգտագործված, փաթեթավորմամբ: 
•	Ապրանքների տեղափոխումը և բեռնաթափումը իրականացնում է Վաճառողը՝ իր հաշվին և իր միջոցներով: 
•	Պահանջվող ապրանքների համար Վաճառողը պետք է ներկայացնի արտադրողի լիազորագիր (MAF): 
•	Արտադրող ընկերությունը պետք է ներառված լինի համաշխարհային մարքեթինգային վարկանիշ տրամադրող IDC-ի կամ Gartner-ի 2025 թվականի համակարգչային սարքավորումներ արտադրող կազմակերպությունների սանդղակի առաջին հնգյակում: 
•	Համակարգիչների համար պետք է գործի առնվազն 3 տարվա տեխնիկական սպասարկման երաշխիք, ընդ որում սպասարկումը պետք է իրականացվի արտադրողի կողմից հավատարմագրված ՀՀ–ում տեղակայված սպասարկման կենտրոնում։ Երաշխիքային ժամկետում գտնվող ապրանքների տեղափոխումը սպասարկման կենտրոն և վերադարձը գնորդին պետք է իրականացվի Վաճառողի կողմից՝ իր հաշվին և իր միջոցներով: (Ապրանքների տեղափոխումը և վերադարձը Գնորդին պետք է իրականացվի  իրականացվի ք․ Երևան Խորենացի 3,7 հասցեից տեխնիկական խնդրի մասին իրազեկումից հետո առավելագույնը 2 ամսվա ընթացքում)։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 Երևան,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պայմանագիրն ուժի մեջ մտնելու օրվանից  հաշված 80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