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70660" w14:textId="63ACA6A2" w:rsidR="00DD186B" w:rsidRPr="00DD186B" w:rsidRDefault="00DD186B" w:rsidP="00DD186B">
      <w:pPr>
        <w:pStyle w:val="FootnoteText"/>
        <w:numPr>
          <w:ilvl w:val="0"/>
          <w:numId w:val="1"/>
        </w:numPr>
        <w:jc w:val="both"/>
        <w:rPr>
          <w:rFonts w:ascii="GHEA Grapalat" w:hAnsi="GHEA Grapalat" w:cs="Sylfaen"/>
          <w:b/>
          <w:iCs/>
          <w:lang w:val="pt-BR" w:eastAsia="en-US"/>
        </w:rPr>
      </w:pPr>
      <w:r w:rsidRPr="00DD186B">
        <w:rPr>
          <w:rFonts w:ascii="GHEA Grapalat" w:hAnsi="GHEA Grapalat" w:cs="Sylfaen"/>
          <w:b/>
          <w:iCs/>
          <w:lang w:val="pt-BR" w:eastAsia="en-US"/>
        </w:rPr>
        <w:t>* բժշկական նշանակության ա</w:t>
      </w:r>
      <w:r w:rsidR="00684402">
        <w:rPr>
          <w:rFonts w:ascii="GHEA Grapalat" w:hAnsi="GHEA Grapalat" w:cs="Sylfaen"/>
          <w:b/>
          <w:iCs/>
          <w:lang w:val="hy-AM" w:eastAsia="en-US"/>
        </w:rPr>
        <w:t>պ</w:t>
      </w:r>
      <w:r w:rsidRPr="00DD186B">
        <w:rPr>
          <w:rFonts w:ascii="GHEA Grapalat" w:hAnsi="GHEA Grapalat" w:cs="Sylfaen"/>
          <w:b/>
          <w:iCs/>
          <w:lang w:val="pt-BR" w:eastAsia="en-US"/>
        </w:rPr>
        <w:t>րանքների պիտանիության ժամկետները գնորդին հանձնման պահին պետք է լինեն հետևյալը`</w:t>
      </w:r>
    </w:p>
    <w:p w14:paraId="036C6553" w14:textId="77777777" w:rsidR="00DD186B" w:rsidRPr="00DD186B" w:rsidRDefault="00DD186B" w:rsidP="00DD186B">
      <w:pPr>
        <w:pStyle w:val="FootnoteText"/>
        <w:numPr>
          <w:ilvl w:val="0"/>
          <w:numId w:val="1"/>
        </w:numPr>
        <w:jc w:val="both"/>
        <w:rPr>
          <w:rFonts w:ascii="GHEA Grapalat" w:hAnsi="GHEA Grapalat" w:cs="Sylfaen"/>
          <w:b/>
          <w:iCs/>
          <w:lang w:val="pt-BR" w:eastAsia="en-US"/>
        </w:rPr>
      </w:pPr>
      <w:r w:rsidRPr="00DD186B">
        <w:rPr>
          <w:rFonts w:ascii="GHEA Grapalat" w:hAnsi="GHEA Grapalat" w:cs="Sylfaen"/>
          <w:b/>
          <w:iCs/>
          <w:lang w:val="pt-BR" w:eastAsia="en-US"/>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14:paraId="7077C976" w14:textId="77777777" w:rsidR="00DD186B" w:rsidRPr="00DD186B" w:rsidRDefault="00DD186B" w:rsidP="00DD186B">
      <w:pPr>
        <w:pStyle w:val="FootnoteText"/>
        <w:numPr>
          <w:ilvl w:val="0"/>
          <w:numId w:val="1"/>
        </w:numPr>
        <w:jc w:val="both"/>
        <w:rPr>
          <w:rFonts w:ascii="GHEA Grapalat" w:hAnsi="GHEA Grapalat" w:cs="Sylfaen"/>
          <w:b/>
          <w:iCs/>
          <w:lang w:val="pt-BR" w:eastAsia="en-US"/>
        </w:rPr>
      </w:pPr>
      <w:r w:rsidRPr="00DD186B">
        <w:rPr>
          <w:rFonts w:ascii="GHEA Grapalat" w:hAnsi="GHEA Grapalat" w:cs="Sylfaen"/>
          <w:b/>
          <w:iCs/>
          <w:lang w:val="pt-BR" w:eastAsia="en-US"/>
        </w:rPr>
        <w:t>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w:t>
      </w:r>
    </w:p>
    <w:p w14:paraId="3E78A96E" w14:textId="2D5393BB" w:rsidR="00DD186B" w:rsidRPr="00DD186B" w:rsidRDefault="00DD186B" w:rsidP="00DD186B">
      <w:pPr>
        <w:pStyle w:val="FootnoteText"/>
        <w:numPr>
          <w:ilvl w:val="0"/>
          <w:numId w:val="1"/>
        </w:numPr>
        <w:jc w:val="both"/>
        <w:rPr>
          <w:rFonts w:ascii="GHEA Grapalat" w:hAnsi="GHEA Grapalat" w:cs="Sylfaen"/>
          <w:b/>
          <w:iCs/>
          <w:lang w:val="pt-BR" w:eastAsia="en-US"/>
        </w:rPr>
      </w:pPr>
      <w:r w:rsidRPr="00DD186B">
        <w:rPr>
          <w:rFonts w:ascii="GHEA Grapalat" w:hAnsi="GHEA Grapalat" w:cs="Sylfaen"/>
          <w:b/>
          <w:iCs/>
          <w:lang w:val="pt-BR" w:eastAsia="en-US"/>
        </w:rPr>
        <w:t>գ. առանձին դեպքերում, այն է` հիվանդների անհետաձգելի պահանջի բավարարման հիմնավորված անհրաժեշտությունը, բժշկական նշանակության ա</w:t>
      </w:r>
      <w:r w:rsidR="00684402">
        <w:rPr>
          <w:rFonts w:ascii="GHEA Grapalat" w:hAnsi="GHEA Grapalat" w:cs="Sylfaen"/>
          <w:b/>
          <w:iCs/>
          <w:lang w:val="hy-AM" w:eastAsia="en-US"/>
        </w:rPr>
        <w:t>պ</w:t>
      </w:r>
      <w:r w:rsidRPr="00DD186B">
        <w:rPr>
          <w:rFonts w:ascii="GHEA Grapalat" w:hAnsi="GHEA Grapalat" w:cs="Sylfaen"/>
          <w:b/>
          <w:iCs/>
          <w:lang w:val="pt-BR" w:eastAsia="en-US"/>
        </w:rPr>
        <w:t>րանքների սպառման համար սահմանված պիտանիության կարճ ժամկետները, բժշկական նշանակության ա</w:t>
      </w:r>
      <w:r w:rsidR="00684402">
        <w:rPr>
          <w:rFonts w:ascii="GHEA Grapalat" w:hAnsi="GHEA Grapalat" w:cs="Sylfaen"/>
          <w:b/>
          <w:iCs/>
          <w:lang w:val="hy-AM" w:eastAsia="en-US"/>
        </w:rPr>
        <w:t>պ</w:t>
      </w:r>
      <w:r w:rsidRPr="00DD186B">
        <w:rPr>
          <w:rFonts w:ascii="GHEA Grapalat" w:hAnsi="GHEA Grapalat" w:cs="Sylfaen"/>
          <w:b/>
          <w:iCs/>
          <w:lang w:val="pt-BR" w:eastAsia="en-US"/>
        </w:rPr>
        <w:t>րանքները հանձնման պահին կարող է ունենալ բժշկական նշանակության ա</w:t>
      </w:r>
      <w:r w:rsidR="00684402">
        <w:rPr>
          <w:rFonts w:ascii="GHEA Grapalat" w:hAnsi="GHEA Grapalat" w:cs="Sylfaen"/>
          <w:b/>
          <w:iCs/>
          <w:lang w:val="hy-AM" w:eastAsia="en-US"/>
        </w:rPr>
        <w:t>պ</w:t>
      </w:r>
      <w:r w:rsidRPr="00DD186B">
        <w:rPr>
          <w:rFonts w:ascii="GHEA Grapalat" w:hAnsi="GHEA Grapalat" w:cs="Sylfaen"/>
          <w:b/>
          <w:iCs/>
          <w:lang w:val="pt-BR" w:eastAsia="en-US"/>
        </w:rPr>
        <w:t xml:space="preserve">րանքների ընդհանուր պիտանիության ժամկետի առնվազն մեկ երկրորդը:  </w:t>
      </w:r>
    </w:p>
    <w:p w14:paraId="3608BAA7" w14:textId="7A573ED4" w:rsidR="00DD186B" w:rsidRDefault="00DD186B" w:rsidP="00DD186B">
      <w:pPr>
        <w:pStyle w:val="FootnoteText"/>
        <w:ind w:left="720"/>
        <w:jc w:val="both"/>
        <w:rPr>
          <w:rFonts w:ascii="GHEA Grapalat" w:hAnsi="GHEA Grapalat" w:cs="Sylfaen"/>
          <w:b/>
          <w:iCs/>
          <w:lang w:val="pt-BR" w:eastAsia="en-US"/>
        </w:rPr>
      </w:pPr>
      <w:r w:rsidRPr="00DD186B">
        <w:rPr>
          <w:rFonts w:ascii="GHEA Grapalat" w:hAnsi="GHEA Grapalat" w:cs="Sylfaen"/>
          <w:b/>
          <w:iCs/>
          <w:lang w:val="pt-BR" w:eastAsia="en-US"/>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25-ն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37FEBD0D" w14:textId="77777777" w:rsidR="00DD186B" w:rsidRPr="00DD186B" w:rsidRDefault="00DD186B" w:rsidP="00DD186B">
      <w:pPr>
        <w:pStyle w:val="FootnoteText"/>
        <w:ind w:left="720"/>
        <w:jc w:val="both"/>
        <w:rPr>
          <w:rFonts w:ascii="GHEA Grapalat" w:hAnsi="GHEA Grapalat" w:cs="Sylfaen"/>
          <w:b/>
          <w:iCs/>
          <w:lang w:val="pt-BR" w:eastAsia="en-US"/>
        </w:rPr>
      </w:pPr>
      <w:r w:rsidRPr="00DD186B">
        <w:rPr>
          <w:rFonts w:ascii="GHEA Grapalat" w:hAnsi="GHEA Grapalat" w:cs="Sylfaen"/>
          <w:b/>
          <w:iCs/>
          <w:lang w:val="pt-BR" w:eastAsia="en-US"/>
        </w:rPr>
        <w:t>**Եթե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14:paraId="42A76933" w14:textId="77777777" w:rsidR="00DD186B" w:rsidRPr="00DD186B" w:rsidRDefault="00DD186B" w:rsidP="00DD186B">
      <w:pPr>
        <w:pStyle w:val="FootnoteText"/>
        <w:ind w:left="720"/>
        <w:jc w:val="both"/>
        <w:rPr>
          <w:rFonts w:ascii="GHEA Grapalat" w:hAnsi="GHEA Grapalat" w:cs="Sylfaen"/>
          <w:b/>
          <w:iCs/>
          <w:lang w:val="pt-BR" w:eastAsia="en-US"/>
        </w:rPr>
      </w:pPr>
    </w:p>
    <w:p w14:paraId="2B50A5B6" w14:textId="167B03A2" w:rsidR="00DD186B" w:rsidRDefault="00DD186B" w:rsidP="00DD186B">
      <w:pPr>
        <w:pStyle w:val="FootnoteText"/>
        <w:ind w:left="720"/>
        <w:jc w:val="both"/>
        <w:rPr>
          <w:rFonts w:ascii="GHEA Grapalat" w:hAnsi="GHEA Grapalat" w:cs="Sylfaen"/>
          <w:b/>
          <w:iCs/>
          <w:lang w:val="pt-BR" w:eastAsia="en-US"/>
        </w:rPr>
      </w:pPr>
      <w:r w:rsidRPr="00DD186B">
        <w:rPr>
          <w:rFonts w:ascii="GHEA Grapalat" w:hAnsi="GHEA Grapalat" w:cs="Sylfaen"/>
          <w:b/>
          <w:iCs/>
          <w:lang w:val="pt-BR" w:eastAsia="en-US"/>
        </w:rPr>
        <w:t>**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նշանը,ֆիրմային անվանումը, մոդելը և արտադրողի անվանումը» սյունակը:</w:t>
      </w:r>
    </w:p>
    <w:p w14:paraId="0FCFCEBD" w14:textId="77777777" w:rsidR="00DD186B" w:rsidRDefault="00DD186B" w:rsidP="00DD186B">
      <w:pPr>
        <w:pStyle w:val="FootnoteText"/>
        <w:ind w:left="720"/>
        <w:jc w:val="both"/>
        <w:rPr>
          <w:rFonts w:ascii="GHEA Grapalat" w:hAnsi="GHEA Grapalat" w:cs="Sylfaen"/>
          <w:b/>
          <w:iCs/>
          <w:lang w:val="pt-BR" w:eastAsia="en-US"/>
        </w:rPr>
      </w:pPr>
    </w:p>
    <w:p w14:paraId="2B7B9C53" w14:textId="4FF1F1A3" w:rsidR="00DD186B" w:rsidRPr="00DD186B" w:rsidRDefault="00DD186B" w:rsidP="00DD186B">
      <w:pPr>
        <w:pStyle w:val="FootnoteText"/>
        <w:ind w:left="720" w:firstLine="720"/>
        <w:jc w:val="both"/>
        <w:rPr>
          <w:rFonts w:ascii="GHEA Grapalat" w:hAnsi="GHEA Grapalat" w:cs="Sylfaen"/>
          <w:b/>
          <w:iCs/>
          <w:lang w:val="pt-BR" w:eastAsia="en-US"/>
        </w:rPr>
      </w:pPr>
      <w:r w:rsidRPr="00DD186B">
        <w:rPr>
          <w:rFonts w:ascii="GHEA Grapalat" w:hAnsi="GHEA Grapalat" w:cs="Sylfaen"/>
          <w:b/>
          <w:iCs/>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4028EAFA" w14:textId="77777777" w:rsidR="00DD186B" w:rsidRPr="00DD186B" w:rsidRDefault="00DD186B" w:rsidP="00DD186B">
      <w:pPr>
        <w:pStyle w:val="FootnoteText"/>
        <w:ind w:left="720"/>
        <w:jc w:val="both"/>
        <w:rPr>
          <w:rFonts w:ascii="GHEA Grapalat" w:hAnsi="GHEA Grapalat" w:cs="Sylfaen"/>
          <w:b/>
          <w:iCs/>
          <w:lang w:val="pt-BR" w:eastAsia="en-US"/>
        </w:rPr>
      </w:pPr>
      <w:r w:rsidRPr="00DD186B">
        <w:rPr>
          <w:rFonts w:ascii="GHEA Grapalat" w:hAnsi="GHEA Grapalat" w:cs="Sylfaen"/>
          <w:b/>
          <w:iCs/>
          <w:lang w:val="pt-BR" w:eastAsia="en-US"/>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7CCB55F4" w14:textId="77777777" w:rsidR="00DD186B" w:rsidRPr="00DD186B" w:rsidRDefault="00DD186B" w:rsidP="00DD186B">
      <w:pPr>
        <w:pStyle w:val="FootnoteText"/>
        <w:ind w:left="720"/>
        <w:jc w:val="both"/>
        <w:rPr>
          <w:rFonts w:ascii="GHEA Grapalat" w:hAnsi="GHEA Grapalat" w:cs="Sylfaen"/>
          <w:b/>
          <w:iCs/>
          <w:lang w:val="pt-BR" w:eastAsia="en-US"/>
        </w:rPr>
      </w:pPr>
      <w:r w:rsidRPr="00DD186B">
        <w:rPr>
          <w:rFonts w:ascii="GHEA Grapalat" w:hAnsi="GHEA Grapalat" w:cs="Sylfaen"/>
          <w:b/>
          <w:iCs/>
          <w:lang w:val="pt-BR" w:eastAsia="en-US"/>
        </w:rPr>
        <w:t xml:space="preserve">*Ռուսերեն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                                                                                                                                                                                  </w:t>
      </w:r>
    </w:p>
    <w:p w14:paraId="5828A214" w14:textId="49BCB17C" w:rsidR="004B72F3" w:rsidRDefault="00DD186B" w:rsidP="00DD186B">
      <w:pPr>
        <w:pStyle w:val="FootnoteText"/>
        <w:ind w:left="720"/>
        <w:jc w:val="both"/>
        <w:rPr>
          <w:rFonts w:ascii="GHEA Grapalat" w:hAnsi="GHEA Grapalat" w:cs="Sylfaen"/>
          <w:b/>
          <w:iCs/>
          <w:lang w:val="pt-BR" w:eastAsia="en-US"/>
        </w:rPr>
      </w:pPr>
      <w:r w:rsidRPr="00DD186B">
        <w:rPr>
          <w:rFonts w:ascii="GHEA Grapalat" w:hAnsi="GHEA Grapalat" w:cs="Sylfaen"/>
          <w:b/>
          <w:iCs/>
          <w:lang w:val="pt-BR" w:eastAsia="en-US"/>
        </w:rPr>
        <w:t xml:space="preserve">     Բժշկական նշանակության ապրանքների մատակարարման բեռնափոխադրումը մինչև ներհիվանդանոցային դեղատուն իրականացվում է մատակարարի կողմից:</w:t>
      </w:r>
    </w:p>
    <w:p w14:paraId="66F1BF7B" w14:textId="634BBEED" w:rsidR="002D3CC0" w:rsidRDefault="002D3CC0" w:rsidP="00DD186B">
      <w:pPr>
        <w:pStyle w:val="FootnoteText"/>
        <w:ind w:left="720"/>
        <w:jc w:val="both"/>
        <w:rPr>
          <w:rFonts w:ascii="GHEA Grapalat" w:hAnsi="GHEA Grapalat" w:cs="Sylfaen"/>
          <w:b/>
          <w:iCs/>
          <w:lang w:val="pt-BR" w:eastAsia="en-US"/>
        </w:rPr>
      </w:pPr>
    </w:p>
    <w:p w14:paraId="3BA00C50" w14:textId="77777777" w:rsidR="002D3CC0" w:rsidRPr="002D3CC0" w:rsidRDefault="002D3CC0" w:rsidP="002D3CC0">
      <w:pPr>
        <w:pStyle w:val="FootnoteText"/>
        <w:ind w:left="720"/>
        <w:jc w:val="both"/>
        <w:rPr>
          <w:rFonts w:ascii="GHEA Grapalat" w:hAnsi="GHEA Grapalat"/>
          <w:b/>
          <w:bCs/>
          <w:iCs/>
          <w:lang w:val="pt-BR"/>
        </w:rPr>
      </w:pPr>
      <w:r w:rsidRPr="002D3CC0">
        <w:rPr>
          <w:rFonts w:ascii="GHEA Grapalat" w:hAnsi="GHEA Grapalat"/>
          <w:b/>
          <w:bCs/>
          <w:iCs/>
          <w:lang w:val="pt-BR"/>
        </w:rPr>
        <w:lastRenderedPageBreak/>
        <w:t>* Срок годности медицинских изделий на момент поставки покупателю должен быть следующим:</w:t>
      </w:r>
    </w:p>
    <w:p w14:paraId="06051A07" w14:textId="77777777" w:rsidR="002D3CC0" w:rsidRPr="002D3CC0" w:rsidRDefault="002D3CC0" w:rsidP="002D3CC0">
      <w:pPr>
        <w:pStyle w:val="FootnoteText"/>
        <w:ind w:left="720"/>
        <w:jc w:val="both"/>
        <w:rPr>
          <w:rFonts w:ascii="GHEA Grapalat" w:hAnsi="GHEA Grapalat"/>
          <w:b/>
          <w:bCs/>
          <w:iCs/>
          <w:lang w:val="pt-BR"/>
        </w:rPr>
      </w:pPr>
      <w:r w:rsidRPr="002D3CC0">
        <w:rPr>
          <w:rFonts w:ascii="GHEA Grapalat" w:hAnsi="GHEA Grapalat"/>
          <w:b/>
          <w:bCs/>
          <w:iCs/>
          <w:lang w:val="pt-BR"/>
        </w:rPr>
        <w:t>• а. При сроке годности более 2,5 лет остаточный срок годности на момент поставки должен составлять не менее 24 месяцев;</w:t>
      </w:r>
    </w:p>
    <w:p w14:paraId="0CC44488" w14:textId="77777777" w:rsidR="002D3CC0" w:rsidRPr="002D3CC0" w:rsidRDefault="002D3CC0" w:rsidP="002D3CC0">
      <w:pPr>
        <w:pStyle w:val="FootnoteText"/>
        <w:ind w:left="720"/>
        <w:jc w:val="both"/>
        <w:rPr>
          <w:rFonts w:ascii="GHEA Grapalat" w:hAnsi="GHEA Grapalat"/>
          <w:b/>
          <w:bCs/>
          <w:iCs/>
          <w:lang w:val="pt-BR"/>
        </w:rPr>
      </w:pPr>
      <w:r w:rsidRPr="002D3CC0">
        <w:rPr>
          <w:rFonts w:ascii="GHEA Grapalat" w:hAnsi="GHEA Grapalat"/>
          <w:b/>
          <w:bCs/>
          <w:iCs/>
          <w:lang w:val="pt-BR"/>
        </w:rPr>
        <w:t>• б. Медицинские изделия со сроком годности до 2,5 лет должны иметь общий срок годности 12 месяцев на момент поставки;</w:t>
      </w:r>
    </w:p>
    <w:p w14:paraId="6085BB8B" w14:textId="77777777" w:rsidR="002D3CC0" w:rsidRPr="002D3CC0" w:rsidRDefault="002D3CC0" w:rsidP="002D3CC0">
      <w:pPr>
        <w:pStyle w:val="FootnoteText"/>
        <w:ind w:left="720"/>
        <w:jc w:val="both"/>
        <w:rPr>
          <w:rFonts w:ascii="GHEA Grapalat" w:hAnsi="GHEA Grapalat"/>
          <w:b/>
          <w:bCs/>
          <w:iCs/>
          <w:lang w:val="pt-BR"/>
        </w:rPr>
      </w:pPr>
      <w:r w:rsidRPr="002D3CC0">
        <w:rPr>
          <w:rFonts w:ascii="GHEA Grapalat" w:hAnsi="GHEA Grapalat"/>
          <w:b/>
          <w:bCs/>
          <w:iCs/>
          <w:lang w:val="pt-BR"/>
        </w:rPr>
        <w:t>• в. В отдельных случаях, а именно, при обоснованной необходимости удовлетворения неотложных потребностей пациентов, при коротком сроке годности медицинских изделий, медицинский продукт может иметь остаточный срок годности не менее одного месяца от общего срока годности медицинского продукта на момент поставки.</w:t>
      </w:r>
    </w:p>
    <w:p w14:paraId="0578AECC" w14:textId="77777777" w:rsidR="002D3CC0" w:rsidRPr="002D3CC0" w:rsidRDefault="002D3CC0" w:rsidP="002D3CC0">
      <w:pPr>
        <w:pStyle w:val="FootnoteText"/>
        <w:ind w:left="720"/>
        <w:jc w:val="both"/>
        <w:rPr>
          <w:rFonts w:ascii="GHEA Grapalat" w:hAnsi="GHEA Grapalat"/>
          <w:b/>
          <w:bCs/>
          <w:iCs/>
          <w:lang w:val="pt-BR"/>
        </w:rPr>
      </w:pPr>
    </w:p>
    <w:p w14:paraId="01D67FC9" w14:textId="77777777" w:rsidR="002D3CC0" w:rsidRPr="002D3CC0" w:rsidRDefault="002D3CC0" w:rsidP="002D3CC0">
      <w:pPr>
        <w:pStyle w:val="FootnoteText"/>
        <w:ind w:left="720"/>
        <w:jc w:val="both"/>
        <w:rPr>
          <w:rFonts w:ascii="GHEA Grapalat" w:hAnsi="GHEA Grapalat"/>
          <w:b/>
          <w:bCs/>
          <w:iCs/>
          <w:lang w:val="pt-BR"/>
        </w:rPr>
      </w:pPr>
      <w:r w:rsidRPr="002D3CC0">
        <w:rPr>
          <w:rFonts w:ascii="GHEA Grapalat" w:hAnsi="GHEA Grapalat"/>
          <w:b/>
          <w:bCs/>
          <w:iCs/>
          <w:lang w:val="pt-BR"/>
        </w:rPr>
        <w:t>* Условия поставки: Поставка Товара(ов) осуществляется Продавцом, в случае наличия финансовых ресурсов после заключения настоящего Соглашения, с даты вступления в силу заключенного между сторонами соглашения до 25 декабря 2026 года, каждый раз в течение 3 рабочих дней с момента получения заказа на поставку Товара(ов) от Покупателя, соответствующего количеству заказанного Покупателем Товара(ов), при этом срок поставки первого этапа составляет 20 календарных дней. Заказ на поставку Товара(ов) размещается Покупателем у Продавца устно или в письменной форме (в том числе путем отправки заказа с адреса электронной почты Покупателя на адрес электронной почты Продавца).</w:t>
      </w:r>
    </w:p>
    <w:p w14:paraId="1CF0F3ED" w14:textId="77777777" w:rsidR="002D3CC0" w:rsidRPr="002D3CC0" w:rsidRDefault="002D3CC0" w:rsidP="002D3CC0">
      <w:pPr>
        <w:pStyle w:val="FootnoteText"/>
        <w:ind w:left="720"/>
        <w:jc w:val="both"/>
        <w:rPr>
          <w:rFonts w:ascii="GHEA Grapalat" w:hAnsi="GHEA Grapalat"/>
          <w:b/>
          <w:bCs/>
          <w:iCs/>
          <w:lang w:val="pt-BR"/>
        </w:rPr>
      </w:pPr>
    </w:p>
    <w:p w14:paraId="6BE883DB" w14:textId="0118CFBC" w:rsidR="002D3CC0" w:rsidRPr="002D3CC0" w:rsidRDefault="002D3CC0" w:rsidP="002D3CC0">
      <w:pPr>
        <w:pStyle w:val="FootnoteText"/>
        <w:ind w:left="720"/>
        <w:jc w:val="both"/>
        <w:rPr>
          <w:rFonts w:ascii="GHEA Grapalat" w:hAnsi="GHEA Grapalat"/>
          <w:b/>
          <w:bCs/>
          <w:iCs/>
          <w:lang w:val="pt-BR"/>
        </w:rPr>
      </w:pPr>
      <w:r w:rsidRPr="002D3CC0">
        <w:rPr>
          <w:rFonts w:ascii="GHEA Grapalat" w:hAnsi="GHEA Grapalat"/>
          <w:b/>
          <w:bCs/>
          <w:iCs/>
          <w:lang w:val="pt-BR"/>
        </w:rPr>
        <w:t>**Если в течение срока действия Соглашения Покупатель подал запрос на приобретение товара не всей партией, то Соглашение расторгается в отношении непоставленной, остаточной партии приобретенного товара.</w:t>
      </w:r>
    </w:p>
    <w:p w14:paraId="0E73AF59" w14:textId="77777777" w:rsidR="002D3CC0" w:rsidRPr="002D3CC0" w:rsidRDefault="002D3CC0" w:rsidP="002D3CC0">
      <w:pPr>
        <w:pStyle w:val="FootnoteText"/>
        <w:ind w:left="720"/>
        <w:jc w:val="both"/>
        <w:rPr>
          <w:rFonts w:ascii="GHEA Grapalat" w:hAnsi="GHEA Grapalat"/>
          <w:b/>
          <w:bCs/>
          <w:iCs/>
          <w:lang w:val="pt-BR"/>
        </w:rPr>
      </w:pPr>
      <w:r w:rsidRPr="002D3CC0">
        <w:rPr>
          <w:rFonts w:ascii="GHEA Grapalat" w:hAnsi="GHEA Grapalat"/>
          <w:b/>
          <w:bCs/>
          <w:iCs/>
          <w:lang w:val="pt-BR"/>
        </w:rPr>
        <w:t>** *Если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графа «товарный знак, фирменное наименование, модель и наименование производителя» удаляется.</w:t>
      </w:r>
    </w:p>
    <w:p w14:paraId="071AACEC" w14:textId="77777777" w:rsidR="002D3CC0" w:rsidRPr="002D3CC0" w:rsidRDefault="002D3CC0" w:rsidP="002D3CC0">
      <w:pPr>
        <w:pStyle w:val="FootnoteText"/>
        <w:ind w:left="720"/>
        <w:jc w:val="both"/>
        <w:rPr>
          <w:rFonts w:ascii="GHEA Grapalat" w:hAnsi="GHEA Grapalat"/>
          <w:b/>
          <w:bCs/>
          <w:iCs/>
          <w:lang w:val="pt-BR"/>
        </w:rPr>
      </w:pPr>
    </w:p>
    <w:p w14:paraId="25688711" w14:textId="77777777" w:rsidR="002D3CC0" w:rsidRPr="002D3CC0" w:rsidRDefault="002D3CC0" w:rsidP="002D3CC0">
      <w:pPr>
        <w:pStyle w:val="FootnoteText"/>
        <w:ind w:left="720"/>
        <w:jc w:val="both"/>
        <w:rPr>
          <w:rFonts w:ascii="GHEA Grapalat" w:hAnsi="GHEA Grapalat"/>
          <w:b/>
          <w:bCs/>
          <w:iCs/>
          <w:lang w:val="pt-BR"/>
        </w:rPr>
      </w:pPr>
      <w:r w:rsidRPr="002D3CC0">
        <w:rPr>
          <w:rFonts w:ascii="GHEA Grapalat" w:hAnsi="GHEA Grapalat"/>
          <w:b/>
          <w:bCs/>
          <w:iCs/>
          <w:lang w:val="pt-BR"/>
        </w:rPr>
        <w:t>Если это предусмотрено договором, Продавец также предоставляет Покупателю гарантийное письмо или сертификат соответствия от производителя продукции или его представителя.</w:t>
      </w:r>
    </w:p>
    <w:p w14:paraId="36126CE5" w14:textId="77777777" w:rsidR="002D3CC0" w:rsidRPr="002D3CC0" w:rsidRDefault="002D3CC0" w:rsidP="002D3CC0">
      <w:pPr>
        <w:pStyle w:val="FootnoteText"/>
        <w:ind w:left="720"/>
        <w:jc w:val="both"/>
        <w:rPr>
          <w:rFonts w:ascii="GHEA Grapalat" w:hAnsi="GHEA Grapalat"/>
          <w:b/>
          <w:bCs/>
          <w:iCs/>
          <w:lang w:val="pt-BR"/>
        </w:rPr>
      </w:pPr>
    </w:p>
    <w:p w14:paraId="7BE85F3C" w14:textId="77777777" w:rsidR="002D3CC0" w:rsidRPr="002D3CC0" w:rsidRDefault="002D3CC0" w:rsidP="002D3CC0">
      <w:pPr>
        <w:pStyle w:val="FootnoteText"/>
        <w:ind w:left="720"/>
        <w:jc w:val="both"/>
        <w:rPr>
          <w:rFonts w:ascii="GHEA Grapalat" w:hAnsi="GHEA Grapalat"/>
          <w:b/>
          <w:bCs/>
          <w:iCs/>
          <w:lang w:val="pt-BR"/>
        </w:rPr>
      </w:pPr>
      <w:r w:rsidRPr="002D3CC0">
        <w:rPr>
          <w:rFonts w:ascii="GHEA Grapalat" w:hAnsi="GHEA Grapalat"/>
          <w:b/>
          <w:bCs/>
          <w:iCs/>
          <w:lang w:val="pt-BR"/>
        </w:rPr>
        <w:t>Если договор заключается на основании части 6 статьи 15 Закона РА «О закупках», то отсчет срока в графе производится в календарных днях, при этом отсчет осуществляется с даты вступления в силу заключенного между сторонами договора, если предусмотрены финансовые ресурсы.</w:t>
      </w:r>
    </w:p>
    <w:p w14:paraId="1C9A7D08" w14:textId="77777777" w:rsidR="002D3CC0" w:rsidRPr="002D3CC0" w:rsidRDefault="002D3CC0" w:rsidP="002D3CC0">
      <w:pPr>
        <w:pStyle w:val="FootnoteText"/>
        <w:ind w:left="720"/>
        <w:jc w:val="both"/>
        <w:rPr>
          <w:rFonts w:ascii="GHEA Grapalat" w:hAnsi="GHEA Grapalat"/>
          <w:b/>
          <w:bCs/>
          <w:iCs/>
          <w:lang w:val="pt-BR"/>
        </w:rPr>
      </w:pPr>
    </w:p>
    <w:p w14:paraId="6DBB55AC" w14:textId="77777777" w:rsidR="002D3CC0" w:rsidRPr="002D3CC0" w:rsidRDefault="002D3CC0" w:rsidP="002D3CC0">
      <w:pPr>
        <w:pStyle w:val="FootnoteText"/>
        <w:ind w:left="720"/>
        <w:jc w:val="both"/>
        <w:rPr>
          <w:rFonts w:ascii="GHEA Grapalat" w:hAnsi="GHEA Grapalat"/>
          <w:b/>
          <w:bCs/>
          <w:iCs/>
          <w:lang w:val="pt-BR"/>
        </w:rPr>
      </w:pPr>
      <w:r w:rsidRPr="002D3CC0">
        <w:rPr>
          <w:rFonts w:ascii="GHEA Grapalat" w:hAnsi="GHEA Grapalat"/>
          <w:b/>
          <w:bCs/>
          <w:iCs/>
          <w:lang w:val="pt-BR"/>
        </w:rPr>
        <w:t>*В случае возможного различного (двойного) толкования текстов объявления и (или) приглашения, опубликованных на русском и армянском языках, преимущественную силу имеет армянский текст.</w:t>
      </w:r>
    </w:p>
    <w:p w14:paraId="2FE615FF" w14:textId="46D2A969" w:rsidR="002D3CC0" w:rsidRPr="00DD186B" w:rsidRDefault="002D3CC0" w:rsidP="002D3CC0">
      <w:pPr>
        <w:pStyle w:val="FootnoteText"/>
        <w:ind w:left="720"/>
        <w:jc w:val="both"/>
        <w:rPr>
          <w:rFonts w:ascii="GHEA Grapalat" w:hAnsi="GHEA Grapalat"/>
          <w:iCs/>
          <w:lang w:val="pt-BR"/>
        </w:rPr>
      </w:pPr>
      <w:r w:rsidRPr="002D3CC0">
        <w:rPr>
          <w:rFonts w:ascii="GHEA Grapalat" w:hAnsi="GHEA Grapalat"/>
          <w:b/>
          <w:bCs/>
          <w:iCs/>
          <w:lang w:val="pt-BR"/>
        </w:rPr>
        <w:t>Доставка медицинских изделий в аптеку больницы осуществляется поставщиком</w:t>
      </w:r>
      <w:r w:rsidRPr="002D3CC0">
        <w:rPr>
          <w:rFonts w:ascii="GHEA Grapalat" w:hAnsi="GHEA Grapalat"/>
          <w:iCs/>
          <w:lang w:val="pt-BR"/>
        </w:rPr>
        <w:t>.</w:t>
      </w:r>
    </w:p>
    <w:sectPr w:rsidR="002D3CC0" w:rsidRPr="00DD186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2F3"/>
    <w:rsid w:val="002D3CC0"/>
    <w:rsid w:val="004B72F3"/>
    <w:rsid w:val="00684402"/>
    <w:rsid w:val="00C45043"/>
    <w:rsid w:val="00DD1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F2338"/>
  <w15:chartTrackingRefBased/>
  <w15:docId w15:val="{6956F86C-2855-4083-8BFD-0C898606D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72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B72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B72F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B72F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B72F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B72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72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72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72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72F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B72F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B72F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B72F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B72F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B72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72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72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72F3"/>
    <w:rPr>
      <w:rFonts w:eastAsiaTheme="majorEastAsia" w:cstheme="majorBidi"/>
      <w:color w:val="272727" w:themeColor="text1" w:themeTint="D8"/>
    </w:rPr>
  </w:style>
  <w:style w:type="paragraph" w:styleId="Title">
    <w:name w:val="Title"/>
    <w:basedOn w:val="Normal"/>
    <w:next w:val="Normal"/>
    <w:link w:val="TitleChar"/>
    <w:uiPriority w:val="10"/>
    <w:qFormat/>
    <w:rsid w:val="004B72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72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72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72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72F3"/>
    <w:pPr>
      <w:spacing w:before="160"/>
      <w:jc w:val="center"/>
    </w:pPr>
    <w:rPr>
      <w:i/>
      <w:iCs/>
      <w:color w:val="404040" w:themeColor="text1" w:themeTint="BF"/>
    </w:rPr>
  </w:style>
  <w:style w:type="character" w:customStyle="1" w:styleId="QuoteChar">
    <w:name w:val="Quote Char"/>
    <w:basedOn w:val="DefaultParagraphFont"/>
    <w:link w:val="Quote"/>
    <w:uiPriority w:val="29"/>
    <w:rsid w:val="004B72F3"/>
    <w:rPr>
      <w:i/>
      <w:iCs/>
      <w:color w:val="404040" w:themeColor="text1" w:themeTint="BF"/>
    </w:rPr>
  </w:style>
  <w:style w:type="paragraph" w:styleId="ListParagraph">
    <w:name w:val="List Paragraph"/>
    <w:basedOn w:val="Normal"/>
    <w:uiPriority w:val="34"/>
    <w:qFormat/>
    <w:rsid w:val="004B72F3"/>
    <w:pPr>
      <w:ind w:left="720"/>
      <w:contextualSpacing/>
    </w:pPr>
  </w:style>
  <w:style w:type="character" w:styleId="IntenseEmphasis">
    <w:name w:val="Intense Emphasis"/>
    <w:basedOn w:val="DefaultParagraphFont"/>
    <w:uiPriority w:val="21"/>
    <w:qFormat/>
    <w:rsid w:val="004B72F3"/>
    <w:rPr>
      <w:i/>
      <w:iCs/>
      <w:color w:val="2F5496" w:themeColor="accent1" w:themeShade="BF"/>
    </w:rPr>
  </w:style>
  <w:style w:type="paragraph" w:styleId="IntenseQuote">
    <w:name w:val="Intense Quote"/>
    <w:basedOn w:val="Normal"/>
    <w:next w:val="Normal"/>
    <w:link w:val="IntenseQuoteChar"/>
    <w:uiPriority w:val="30"/>
    <w:qFormat/>
    <w:rsid w:val="004B72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72F3"/>
    <w:rPr>
      <w:i/>
      <w:iCs/>
      <w:color w:val="2F5496" w:themeColor="accent1" w:themeShade="BF"/>
    </w:rPr>
  </w:style>
  <w:style w:type="character" w:styleId="IntenseReference">
    <w:name w:val="Intense Reference"/>
    <w:basedOn w:val="DefaultParagraphFont"/>
    <w:uiPriority w:val="32"/>
    <w:qFormat/>
    <w:rsid w:val="004B72F3"/>
    <w:rPr>
      <w:b/>
      <w:bCs/>
      <w:smallCaps/>
      <w:color w:val="2F5496" w:themeColor="accent1" w:themeShade="BF"/>
      <w:spacing w:val="5"/>
    </w:rPr>
  </w:style>
  <w:style w:type="paragraph" w:styleId="FootnoteText">
    <w:name w:val="footnote text"/>
    <w:basedOn w:val="Normal"/>
    <w:link w:val="FootnoteTextChar"/>
    <w:semiHidden/>
    <w:rsid w:val="00DD186B"/>
    <w:pPr>
      <w:spacing w:after="0" w:line="240" w:lineRule="auto"/>
    </w:pPr>
    <w:rPr>
      <w:rFonts w:ascii="Times Armenian" w:eastAsia="Times New Roman" w:hAnsi="Times Armenian" w:cs="Times New Roman"/>
      <w:kern w:val="0"/>
      <w:sz w:val="20"/>
      <w:szCs w:val="20"/>
      <w:lang w:val="x-none" w:eastAsia="ru-RU"/>
      <w14:ligatures w14:val="none"/>
    </w:rPr>
  </w:style>
  <w:style w:type="character" w:customStyle="1" w:styleId="FootnoteTextChar">
    <w:name w:val="Footnote Text Char"/>
    <w:basedOn w:val="DefaultParagraphFont"/>
    <w:link w:val="FootnoteText"/>
    <w:semiHidden/>
    <w:rsid w:val="00DD186B"/>
    <w:rPr>
      <w:rFonts w:ascii="Times Armenian" w:eastAsia="Times New Roman" w:hAnsi="Times Armenian" w:cs="Times New Roman"/>
      <w:kern w:val="0"/>
      <w:sz w:val="20"/>
      <w:szCs w:val="20"/>
      <w:lang w:val="x-none"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882</Words>
  <Characters>5034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103-Op1</dc:creator>
  <cp:keywords/>
  <dc:description/>
  <cp:lastModifiedBy>Personnel</cp:lastModifiedBy>
  <cp:revision>4</cp:revision>
  <dcterms:created xsi:type="dcterms:W3CDTF">2025-12-26T09:40:00Z</dcterms:created>
  <dcterms:modified xsi:type="dcterms:W3CDTF">2026-09-01T06:43:00Z</dcterms:modified>
</cp:coreProperties>
</file>