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AFD52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Style w:val="Strong"/>
          <w:rFonts w:ascii="GHEA Grapalat" w:hAnsi="GHEA Grapalat"/>
        </w:rPr>
        <w:t>Դեղերին ներկայացվող ընդհանուր պահանջները</w:t>
      </w:r>
    </w:p>
    <w:p w14:paraId="0E8520F0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Fonts w:ascii="GHEA Grapalat" w:hAnsi="GHEA Grapalat"/>
        </w:rPr>
        <w:t>Մատակարարվող դեղերը պետք է համապատասխանեն ՀՀ կառավարության 02.05.2013 թ. N 502-Ն որոշմամբ և «Դեղերի մասին» ՀՀ օրենքով սահմանված պահանջներին։</w:t>
      </w:r>
    </w:p>
    <w:p w14:paraId="244D4B1D" w14:textId="77777777" w:rsidR="000206E8" w:rsidRPr="000206E8" w:rsidRDefault="000206E8" w:rsidP="000206E8">
      <w:pPr>
        <w:pStyle w:val="Heading3"/>
        <w:spacing w:line="360" w:lineRule="auto"/>
        <w:jc w:val="both"/>
        <w:rPr>
          <w:rStyle w:val="Strong"/>
          <w:rFonts w:eastAsia="Times New Roman" w:cs="Times New Roman"/>
          <w:b/>
          <w:color w:val="auto"/>
          <w:sz w:val="24"/>
          <w:szCs w:val="24"/>
          <w:lang w:val="ru-RU" w:eastAsia="ru-RU"/>
        </w:rPr>
      </w:pPr>
      <w:r w:rsidRPr="000206E8">
        <w:rPr>
          <w:rStyle w:val="Strong"/>
          <w:rFonts w:eastAsia="Times New Roman" w:cs="Times New Roman"/>
          <w:b/>
          <w:color w:val="auto"/>
          <w:sz w:val="24"/>
          <w:szCs w:val="24"/>
          <w:lang w:val="ru-RU" w:eastAsia="ru-RU"/>
        </w:rPr>
        <w:t>Դեղերի պիտանիության ժամկետները</w:t>
      </w:r>
    </w:p>
    <w:p w14:paraId="44476CA7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Fonts w:ascii="GHEA Grapalat" w:hAnsi="GHEA Grapalat"/>
        </w:rPr>
        <w:t>Դեղը Գնորդին հանձնելու պահին մնացորդային պիտանիության ժամկետը պետք է համապատասխանի ՀՀ կառավարության 02.05.2013 թ. N 502-Ն որոշման պահանջներին, մասնավորապես՝</w:t>
      </w:r>
    </w:p>
    <w:p w14:paraId="032029B3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Style w:val="Strong"/>
          <w:rFonts w:ascii="GHEA Grapalat" w:hAnsi="GHEA Grapalat"/>
        </w:rPr>
        <w:t>ա)</w:t>
      </w:r>
      <w:r w:rsidRPr="000206E8">
        <w:rPr>
          <w:rFonts w:ascii="GHEA Grapalat" w:hAnsi="GHEA Grapalat"/>
        </w:rPr>
        <w:t xml:space="preserve"> 2,5 տարի և ավելի ընդհանուր պիտանիության ժամկետ ունեցող դեղերը հանձնման պահին պետք է ունենան առնվազն 24 ամիս մնացորդային պիտանիության ժամկետ,</w:t>
      </w:r>
    </w:p>
    <w:p w14:paraId="03EC6224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Style w:val="Strong"/>
          <w:rFonts w:ascii="GHEA Grapalat" w:hAnsi="GHEA Grapalat"/>
        </w:rPr>
        <w:t>բ)</w:t>
      </w:r>
      <w:r w:rsidRPr="000206E8">
        <w:rPr>
          <w:rFonts w:ascii="GHEA Grapalat" w:hAnsi="GHEA Grapalat"/>
        </w:rPr>
        <w:t xml:space="preserve"> մինչև 2,5 տարի ընդհանուր պիտանիության ժամկետ ունեցող դեղերը հանձնման պահին պետք է ունենան առնվազն 12 ամիս մնացորդային պիտանիության ժամկետ։</w:t>
      </w:r>
    </w:p>
    <w:p w14:paraId="1E7DB5B5" w14:textId="77777777" w:rsidR="000206E8" w:rsidRPr="000206E8" w:rsidRDefault="000206E8" w:rsidP="000206E8">
      <w:pPr>
        <w:pStyle w:val="Heading3"/>
        <w:spacing w:line="360" w:lineRule="auto"/>
        <w:jc w:val="both"/>
        <w:rPr>
          <w:rStyle w:val="Strong"/>
          <w:rFonts w:eastAsia="Times New Roman" w:cs="Times New Roman"/>
          <w:b/>
          <w:color w:val="auto"/>
          <w:sz w:val="24"/>
          <w:szCs w:val="24"/>
          <w:lang w:val="ru-RU" w:eastAsia="ru-RU"/>
        </w:rPr>
      </w:pPr>
      <w:r w:rsidRPr="000206E8">
        <w:rPr>
          <w:rStyle w:val="Strong"/>
          <w:rFonts w:eastAsia="Times New Roman" w:cs="Times New Roman"/>
          <w:b/>
          <w:color w:val="auto"/>
          <w:sz w:val="24"/>
          <w:szCs w:val="24"/>
          <w:lang w:val="ru-RU" w:eastAsia="ru-RU"/>
        </w:rPr>
        <w:t>Դեղերի տեղափոխման և պահպանման պայմանները</w:t>
      </w:r>
    </w:p>
    <w:p w14:paraId="57B094D2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Fonts w:ascii="GHEA Grapalat" w:hAnsi="GHEA Grapalat"/>
        </w:rPr>
        <w:t>Դեղերի տեղափոխումը և պահպանումը պետք է իրականացվեն «Դեղերի մասին» ՀՀ օրենքի 22-րդ հոդվածի, ինչպես նաև ՀՀ առողջապահության նախարարի 17.05.2017 թ. N 24-Ն «Հայաստանի Հանրապետությունում պատշաճ բաշխման գործունեության կանոնները հաստատելու մասին» հրամանի պահանջներին համապատասխան։</w:t>
      </w:r>
    </w:p>
    <w:p w14:paraId="2C4A1019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Fonts w:ascii="GHEA Grapalat" w:hAnsi="GHEA Grapalat"/>
        </w:rPr>
        <w:t>Դեղերը պետք է պահպանվեն և փոխադրվեն պատշաճ բաշխման գործունեության (GDP) կանոններին, ինչպես նաև տվյալ դեղի փաթեթի, պիտակի կամ ներդիր-թերթիկի վրա նշված պահպանման պայմաններին համապատասխան։</w:t>
      </w:r>
    </w:p>
    <w:p w14:paraId="30585C1C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Fonts w:ascii="GHEA Grapalat" w:hAnsi="GHEA Grapalat"/>
        </w:rPr>
        <w:t xml:space="preserve">Վաճառողը պարտավոր է դեղերի փոխադրման ամբողջ ընթացքում ապահովել արտադրողի կողմից սահմանված համապատասխան պայմանները, այդ թվում՝ անհրաժեշտության դեպքում ջերմաստիճանային հատուկ ռեժիմի և սառը շղթայի </w:t>
      </w:r>
      <w:r w:rsidRPr="000206E8">
        <w:rPr>
          <w:rFonts w:ascii="GHEA Grapalat" w:hAnsi="GHEA Grapalat"/>
        </w:rPr>
        <w:lastRenderedPageBreak/>
        <w:t>անընդհատ պահպանումը՝ բացառելով դեղի որակի, անվտանգության և արդյունավետության վրա բացասաբար ազդող պայմանների առաջացումը։</w:t>
      </w:r>
    </w:p>
    <w:p w14:paraId="48D26D85" w14:textId="77777777" w:rsidR="000206E8" w:rsidRPr="00385AF0" w:rsidRDefault="000206E8" w:rsidP="000206E8">
      <w:pPr>
        <w:pStyle w:val="Heading3"/>
        <w:spacing w:line="360" w:lineRule="auto"/>
        <w:jc w:val="both"/>
        <w:rPr>
          <w:rStyle w:val="Strong"/>
          <w:rFonts w:eastAsia="Times New Roman" w:cs="Times New Roman"/>
          <w:b/>
          <w:bCs/>
          <w:color w:val="auto"/>
          <w:sz w:val="24"/>
          <w:szCs w:val="24"/>
          <w:lang w:val="ru-RU" w:eastAsia="ru-RU"/>
        </w:rPr>
      </w:pPr>
      <w:r w:rsidRPr="00385AF0">
        <w:rPr>
          <w:rStyle w:val="Strong"/>
          <w:rFonts w:eastAsia="Times New Roman" w:cs="Times New Roman"/>
          <w:b/>
          <w:bCs/>
          <w:color w:val="auto"/>
          <w:sz w:val="24"/>
          <w:szCs w:val="24"/>
          <w:lang w:val="ru-RU" w:eastAsia="ru-RU"/>
        </w:rPr>
        <w:t>Մատակարարման ժամկետները</w:t>
      </w:r>
    </w:p>
    <w:p w14:paraId="4BC06EDE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Fonts w:ascii="GHEA Grapalat" w:hAnsi="GHEA Grapalat"/>
        </w:rPr>
        <w:t>Ապրանքի/ների մատակարարումը Վաճառողի կողմից իրականացվում է սույն պայմանագիրը կնքելուց հետո՝ ֆինանսական միջոցներ նախատեսվելու դեպքում, կողմերի միջև կնքվող համաձայնագրի ուժի մեջ մտնելու օրվանից մինչև 2026 թվականի դեկտեմբերի 25-ն ընկած ժամանակահատվածում։</w:t>
      </w:r>
    </w:p>
    <w:p w14:paraId="306A158A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Fonts w:ascii="GHEA Grapalat" w:hAnsi="GHEA Grapalat"/>
        </w:rPr>
        <w:t xml:space="preserve">Մատակարարումն իրականացվում է յուրաքանչյուր անգամ Գնորդից ապրանքի/ների մատակարարման պատվեր ստանալու պահից հաշված </w:t>
      </w:r>
      <w:r w:rsidRPr="000206E8">
        <w:rPr>
          <w:rStyle w:val="Strong"/>
          <w:rFonts w:ascii="GHEA Grapalat" w:hAnsi="GHEA Grapalat"/>
        </w:rPr>
        <w:t>3 աշխատանքային օրվա ընթացքում</w:t>
      </w:r>
      <w:r w:rsidRPr="000206E8">
        <w:rPr>
          <w:rFonts w:ascii="GHEA Grapalat" w:hAnsi="GHEA Grapalat"/>
        </w:rPr>
        <w:t>՝ Գնորդի կողմից պատվիրված քանակին համապատասխան։</w:t>
      </w:r>
    </w:p>
    <w:p w14:paraId="70C90F45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Fonts w:ascii="GHEA Grapalat" w:hAnsi="GHEA Grapalat"/>
        </w:rPr>
        <w:t xml:space="preserve">Ընդ որում, </w:t>
      </w:r>
      <w:r w:rsidRPr="000206E8">
        <w:rPr>
          <w:rStyle w:val="Strong"/>
          <w:rFonts w:ascii="GHEA Grapalat" w:hAnsi="GHEA Grapalat"/>
        </w:rPr>
        <w:t>առաջին պատվերով նախատեսված ապրանքի/ների մատակարարման ժամկետը 20 օրացուցային օր է</w:t>
      </w:r>
      <w:r w:rsidRPr="000206E8">
        <w:rPr>
          <w:rFonts w:ascii="GHEA Grapalat" w:hAnsi="GHEA Grapalat"/>
        </w:rPr>
        <w:t>՝ պատվերը ստանալու օրվանից հաշված։</w:t>
      </w:r>
    </w:p>
    <w:p w14:paraId="6C5BB67C" w14:textId="52E6595F" w:rsid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Fonts w:ascii="GHEA Grapalat" w:hAnsi="GHEA Grapalat"/>
        </w:rPr>
        <w:t>Ապրանքի/ների մատակարարման պատվերը Գնորդի կողմից Վաճառողին կարող է ներկայացվել բանավոր կամ գրավոր, այդ թվում՝ Գնորդի էլեկտրոնային փոստի հասցեից Վաճառողի էլեկտրոնային փոստի հասցեին պատվերն ուղարկելու միջոցով։</w:t>
      </w:r>
    </w:p>
    <w:p w14:paraId="69FF6C2C" w14:textId="4F76DC9F" w:rsidR="00EF52FD" w:rsidRPr="00EF52FD" w:rsidRDefault="00EF52FD" w:rsidP="000206E8">
      <w:pPr>
        <w:pStyle w:val="isselectedend"/>
        <w:spacing w:line="360" w:lineRule="auto"/>
        <w:jc w:val="both"/>
        <w:rPr>
          <w:rFonts w:ascii="GHEA Grapalat" w:hAnsi="GHEA Grapalat"/>
          <w:lang w:val="hy-AM"/>
        </w:rPr>
      </w:pPr>
      <w:r w:rsidRPr="00EF52FD">
        <w:rPr>
          <w:rFonts w:ascii="GHEA Grapalat" w:hAnsi="GHEA Grapalat"/>
          <w:lang w:val="hy-AM"/>
        </w:rPr>
        <w:t>Ապրանքի/ների մատակարար</w:t>
      </w:r>
      <w:r>
        <w:rPr>
          <w:rFonts w:ascii="GHEA Grapalat" w:hAnsi="GHEA Grapalat"/>
          <w:lang w:val="hy-AM"/>
        </w:rPr>
        <w:t>ումը իրականացվում է մատակարարի կողմից մինչև պատվիրատույի պահեստ։</w:t>
      </w:r>
    </w:p>
    <w:p w14:paraId="1574ACF5" w14:textId="77777777" w:rsidR="000206E8" w:rsidRPr="00EF52FD" w:rsidRDefault="000206E8" w:rsidP="000206E8">
      <w:pPr>
        <w:pStyle w:val="isselectedend"/>
        <w:spacing w:line="360" w:lineRule="auto"/>
        <w:jc w:val="both"/>
        <w:rPr>
          <w:rFonts w:ascii="GHEA Grapalat" w:hAnsi="GHEA Grapalat"/>
          <w:lang w:val="hy-AM"/>
        </w:rPr>
      </w:pPr>
      <w:r w:rsidRPr="00EF52FD">
        <w:rPr>
          <w:rStyle w:val="Strong"/>
          <w:rFonts w:ascii="GHEA Grapalat" w:hAnsi="GHEA Grapalat"/>
          <w:lang w:val="hy-AM"/>
        </w:rPr>
        <w:t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չմատակարարված՝ մնացորդային խմբաքանակի մասով պայմանագիրը լուծվում է։</w:t>
      </w:r>
    </w:p>
    <w:p w14:paraId="381BFADC" w14:textId="77777777" w:rsidR="000206E8" w:rsidRPr="000206E8" w:rsidRDefault="000206E8" w:rsidP="000206E8">
      <w:pPr>
        <w:pStyle w:val="isselectedend"/>
        <w:spacing w:line="360" w:lineRule="auto"/>
        <w:jc w:val="both"/>
        <w:rPr>
          <w:rFonts w:ascii="GHEA Grapalat" w:hAnsi="GHEA Grapalat"/>
        </w:rPr>
      </w:pPr>
      <w:r w:rsidRPr="000206E8">
        <w:rPr>
          <w:rStyle w:val="Strong"/>
          <w:rFonts w:ascii="GHEA Grapalat" w:hAnsi="GHEA Grapalat"/>
        </w:rPr>
        <w:t xml:space="preserve">Եթե ընտրված մասնակցի հայտով ներկայացվել են մեկից ավելի արտադրողների կողմից արտադրված, ինչպես նաև տարբեր ապրանքային նշան, ֆիրմային անվանում </w:t>
      </w:r>
      <w:r w:rsidRPr="000206E8">
        <w:rPr>
          <w:rStyle w:val="Strong"/>
          <w:rFonts w:ascii="GHEA Grapalat" w:hAnsi="GHEA Grapalat"/>
        </w:rPr>
        <w:lastRenderedPageBreak/>
        <w:t>և մոդել ունեցող ապրանքներ, ապա դրանցից բավարար գնահատվածները ներառվում են սույն հավելվածում։</w:t>
      </w:r>
    </w:p>
    <w:p w14:paraId="2473AB2E" w14:textId="546276B2" w:rsidR="000206E8" w:rsidRDefault="000206E8" w:rsidP="000206E8">
      <w:pPr>
        <w:pStyle w:val="NormalWeb"/>
        <w:spacing w:line="360" w:lineRule="auto"/>
        <w:jc w:val="both"/>
        <w:rPr>
          <w:rFonts w:ascii="GHEA Grapalat" w:hAnsi="GHEA Grapalat"/>
        </w:rPr>
      </w:pPr>
      <w:r w:rsidRPr="000206E8">
        <w:rPr>
          <w:rFonts w:ascii="GHEA Grapalat" w:hAnsi="GHEA Grapalat"/>
        </w:rPr>
        <w:t xml:space="preserve">Եթե հրավերով չի նախատեսվում մասնակցի կողմից առաջարկվող ապրանքի ապրանքային նշանի, ֆիրմային անվանման, մոդելի և արտադրողի վերաբերյալ տեղեկատվության ներկայացում, ապա սույն հավելվածից հանվում է </w:t>
      </w:r>
      <w:r w:rsidRPr="000206E8">
        <w:rPr>
          <w:rStyle w:val="Strong"/>
          <w:rFonts w:ascii="GHEA Grapalat" w:hAnsi="GHEA Grapalat"/>
        </w:rPr>
        <w:t>«ապրանքային նշանը, ֆիրմային անվանումը, մոդելը և արտադրողի անվանումը»</w:t>
      </w:r>
      <w:r w:rsidRPr="000206E8">
        <w:rPr>
          <w:rFonts w:ascii="GHEA Grapalat" w:hAnsi="GHEA Grapalat"/>
        </w:rPr>
        <w:t xml:space="preserve"> սյունակը։</w:t>
      </w:r>
    </w:p>
    <w:p w14:paraId="6070652D" w14:textId="77777777" w:rsidR="00EF52FD" w:rsidRPr="000206E8" w:rsidRDefault="00EF52FD" w:rsidP="000206E8">
      <w:pPr>
        <w:pStyle w:val="NormalWeb"/>
        <w:spacing w:line="360" w:lineRule="auto"/>
        <w:jc w:val="both"/>
        <w:rPr>
          <w:rFonts w:ascii="GHEA Grapalat" w:hAnsi="GHEA Grapalat"/>
        </w:rPr>
      </w:pPr>
    </w:p>
    <w:p w14:paraId="047AD4B6" w14:textId="1132B6F5" w:rsidR="00746AB4" w:rsidRDefault="00746AB4" w:rsidP="000206E8">
      <w:pPr>
        <w:rPr>
          <w:lang w:val="ru-RU"/>
        </w:rPr>
      </w:pPr>
    </w:p>
    <w:p w14:paraId="61A18CAD" w14:textId="0D9EA11E" w:rsidR="005D33E2" w:rsidRDefault="005D33E2" w:rsidP="000206E8">
      <w:pPr>
        <w:rPr>
          <w:lang w:val="ru-RU"/>
        </w:rPr>
      </w:pPr>
    </w:p>
    <w:p w14:paraId="1997AE54" w14:textId="6B07895B" w:rsidR="005D33E2" w:rsidRDefault="005D33E2" w:rsidP="000206E8">
      <w:pPr>
        <w:rPr>
          <w:lang w:val="ru-RU"/>
        </w:rPr>
      </w:pPr>
    </w:p>
    <w:p w14:paraId="1B2D54C8" w14:textId="2E743F95" w:rsidR="005D33E2" w:rsidRDefault="005D33E2" w:rsidP="000206E8">
      <w:pPr>
        <w:rPr>
          <w:lang w:val="ru-RU"/>
        </w:rPr>
      </w:pPr>
    </w:p>
    <w:p w14:paraId="3CB80E32" w14:textId="7C05708C" w:rsidR="005D33E2" w:rsidRDefault="005D33E2" w:rsidP="000206E8">
      <w:pPr>
        <w:rPr>
          <w:lang w:val="ru-RU"/>
        </w:rPr>
      </w:pPr>
    </w:p>
    <w:p w14:paraId="77BBA9A3" w14:textId="7567B8F0" w:rsidR="005D33E2" w:rsidRDefault="005D33E2" w:rsidP="000206E8">
      <w:pPr>
        <w:rPr>
          <w:lang w:val="ru-RU"/>
        </w:rPr>
      </w:pPr>
    </w:p>
    <w:p w14:paraId="272ED097" w14:textId="4A04FF01" w:rsidR="005D33E2" w:rsidRDefault="005D33E2" w:rsidP="000206E8">
      <w:pPr>
        <w:rPr>
          <w:lang w:val="ru-RU"/>
        </w:rPr>
      </w:pPr>
    </w:p>
    <w:p w14:paraId="3CB7B483" w14:textId="6E94D5B0" w:rsidR="005D33E2" w:rsidRDefault="005D33E2" w:rsidP="000206E8">
      <w:pPr>
        <w:rPr>
          <w:lang w:val="ru-RU"/>
        </w:rPr>
      </w:pPr>
    </w:p>
    <w:p w14:paraId="5ED6A172" w14:textId="6AFC6A74" w:rsidR="005D33E2" w:rsidRDefault="005D33E2" w:rsidP="000206E8">
      <w:pPr>
        <w:rPr>
          <w:lang w:val="ru-RU"/>
        </w:rPr>
      </w:pPr>
    </w:p>
    <w:p w14:paraId="708CCE63" w14:textId="64D69BAE" w:rsidR="005D33E2" w:rsidRDefault="005D33E2" w:rsidP="000206E8">
      <w:pPr>
        <w:rPr>
          <w:lang w:val="ru-RU"/>
        </w:rPr>
      </w:pPr>
    </w:p>
    <w:p w14:paraId="181F5BD3" w14:textId="06125990" w:rsidR="005D33E2" w:rsidRDefault="005D33E2" w:rsidP="000206E8">
      <w:pPr>
        <w:rPr>
          <w:lang w:val="ru-RU"/>
        </w:rPr>
      </w:pPr>
    </w:p>
    <w:p w14:paraId="0902ADBA" w14:textId="46CF65D4" w:rsidR="005D33E2" w:rsidRDefault="005D33E2" w:rsidP="000206E8">
      <w:pPr>
        <w:rPr>
          <w:lang w:val="ru-RU"/>
        </w:rPr>
      </w:pPr>
    </w:p>
    <w:p w14:paraId="1D8244C5" w14:textId="2994E95F" w:rsidR="005D33E2" w:rsidRDefault="005D33E2" w:rsidP="000206E8">
      <w:pPr>
        <w:rPr>
          <w:lang w:val="ru-RU"/>
        </w:rPr>
      </w:pPr>
    </w:p>
    <w:p w14:paraId="50C9B701" w14:textId="657E84DE" w:rsidR="005D33E2" w:rsidRDefault="005D33E2" w:rsidP="000206E8">
      <w:pPr>
        <w:rPr>
          <w:lang w:val="ru-RU"/>
        </w:rPr>
      </w:pPr>
    </w:p>
    <w:p w14:paraId="41BC1AE1" w14:textId="68600898" w:rsidR="005D33E2" w:rsidRDefault="005D33E2" w:rsidP="000206E8">
      <w:pPr>
        <w:rPr>
          <w:lang w:val="ru-RU"/>
        </w:rPr>
      </w:pPr>
    </w:p>
    <w:p w14:paraId="4736ADC6" w14:textId="17B556C1" w:rsidR="005D33E2" w:rsidRDefault="005D33E2" w:rsidP="000206E8">
      <w:pPr>
        <w:rPr>
          <w:lang w:val="ru-RU"/>
        </w:rPr>
      </w:pPr>
    </w:p>
    <w:p w14:paraId="22CDEB14" w14:textId="50C0243F" w:rsidR="005D33E2" w:rsidRDefault="005D33E2" w:rsidP="000206E8">
      <w:pPr>
        <w:rPr>
          <w:lang w:val="ru-RU"/>
        </w:rPr>
      </w:pPr>
    </w:p>
    <w:p w14:paraId="134526A3" w14:textId="77777777" w:rsidR="00EE6736" w:rsidRDefault="00EE6736" w:rsidP="005D33E2">
      <w:pPr>
        <w:rPr>
          <w:lang w:val="ru-RU"/>
        </w:rPr>
      </w:pPr>
    </w:p>
    <w:p w14:paraId="106349D0" w14:textId="47689C68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lastRenderedPageBreak/>
        <w:t>Общие требования к лекарственным средствам</w:t>
      </w:r>
    </w:p>
    <w:p w14:paraId="4C1359C6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Поставляемые лекарственные средства должны соответствовать требованиям, изложенным в Постановлении Правительства Республики Армения № 502-Н от 02.05.2013 и Законе Республики Армения «О лекарственных средствах».</w:t>
      </w:r>
    </w:p>
    <w:p w14:paraId="1D67D706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Срок годности лекарственных средств</w:t>
      </w:r>
    </w:p>
    <w:p w14:paraId="33B0CFB5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Остаточный срок годности на момент поставки лекарственного средства Покупателю должен соответствовать требованиям Постановления Правительства Республики Армения № 502-Н от 02.05.2013, в частности:</w:t>
      </w:r>
    </w:p>
    <w:p w14:paraId="211D1405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а) лекарственные средства со сроком годности 2,5 года и более должны иметь остаточный срок годности не менее 24 месяцев на момент поставки;</w:t>
      </w:r>
    </w:p>
    <w:p w14:paraId="00EB6D25" w14:textId="10A30678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б) лекарственные средства со сроком годности до 2,5 лет должны иметь остаточный срок годности не менее 12 месяцев на момент поставки.</w:t>
      </w:r>
    </w:p>
    <w:p w14:paraId="593BE53C" w14:textId="69D61F1D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</w:p>
    <w:p w14:paraId="5F780648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Условия транспортировки и хранения лекарственных средств</w:t>
      </w:r>
    </w:p>
    <w:p w14:paraId="1A95F2F7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Транспортировка и хранение лекарственных средств должны осуществляться в соответствии со статьей 22 Закона Республики Армения «О лекарственных средствах», а также требованиями Приказа Министра здравоохранения Республики Армения от 17.05.2017 № 24-Н «Об утверждении правил надлежащей дистрибуции в Республике Армения».</w:t>
      </w:r>
    </w:p>
    <w:p w14:paraId="0596BC69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Лекарственные средства должны храниться и транспортироваться в соответствии с правилами надлежащей дистрибуции (ГДП), а также условиями хранения, указанными на упаковке, этикетке или вкладыше к данному лекарственному средству.</w:t>
      </w:r>
    </w:p>
    <w:p w14:paraId="56748016" w14:textId="7ED3FDA5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Продавец обязан обеспечить надлежащие условия, указанные производителем, на протяжении всей транспортировки лекарственных средств, включая, при необходимости, постоянное поддержание специального температурного режима и холодовой цепи, исключая возникновение условий, негативно влияющих на качество, безопасность и эффективность лекарственного средства.</w:t>
      </w:r>
    </w:p>
    <w:p w14:paraId="0BA7EC7F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Условия поставки</w:t>
      </w:r>
    </w:p>
    <w:p w14:paraId="442888C5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lastRenderedPageBreak/>
        <w:t>Поставка товара/товаров осуществляется Продавцом после заключения настоящего Соглашения, при наличии финансовых ресурсов, с даты вступления в силу заключенного между сторонами соглашения до 25 декабря 2026 года.</w:t>
      </w:r>
    </w:p>
    <w:p w14:paraId="6213D617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Поставка осуществляется в течение 3 рабочих дней с момента получения заказа на поставку товара/товаров от Покупателя, в соответствии с заказанным Покупателем количеством.</w:t>
      </w:r>
    </w:p>
    <w:p w14:paraId="2E09191B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Кроме того, срок поставки товара/товаров, предусмотренный в первом заказе, составляет 20 календарных дней с даты получения заказа.</w:t>
      </w:r>
    </w:p>
    <w:p w14:paraId="25B6B068" w14:textId="1FD48F69" w:rsid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Заказ на поставку товара/товаров может быть направлен Покупателем Продавцу устно или в письменной форме, в том числе путем отправки заказа с адреса электронной почты Покупателя на адрес электронной почты Продавца.</w:t>
      </w:r>
    </w:p>
    <w:p w14:paraId="388E75CD" w14:textId="527A42B9" w:rsidR="00EF52FD" w:rsidRPr="005D33E2" w:rsidRDefault="00EF52FD" w:rsidP="005D33E2">
      <w:pPr>
        <w:rPr>
          <w:rFonts w:ascii="GHEA Grapalat" w:hAnsi="GHEA Grapalat"/>
          <w:sz w:val="24"/>
          <w:szCs w:val="24"/>
          <w:lang w:val="ru-RU"/>
        </w:rPr>
      </w:pPr>
      <w:r w:rsidRPr="00EF52FD">
        <w:rPr>
          <w:rFonts w:ascii="GHEA Grapalat" w:hAnsi="GHEA Grapalat"/>
          <w:sz w:val="24"/>
          <w:szCs w:val="24"/>
          <w:lang w:val="ru-RU"/>
        </w:rPr>
        <w:t>Доставка товара(ов) осуществляется поставщиком на склад заказчика.</w:t>
      </w:r>
    </w:p>
    <w:p w14:paraId="31B7A23E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Если в течение срока действия договора Покупатель не подал заявку на всю партию приобретаемого товара, то договор расторгается в отношении оставшейся партии приобретаемого товара, которая не была поставлена.</w:t>
      </w:r>
    </w:p>
    <w:p w14:paraId="6CD7ED6D" w14:textId="77777777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Если в заявке выбранного участника были представлены товары, произведенные более чем одним производителем, а также товары с различными товарными знаками, фирменными наименованиями и моделями, то в это приложение включаются те, которые были оценены как удовлетворительные.</w:t>
      </w:r>
    </w:p>
    <w:p w14:paraId="624F2D68" w14:textId="32BC64B0" w:rsidR="005D33E2" w:rsidRPr="005D33E2" w:rsidRDefault="005D33E2" w:rsidP="005D33E2">
      <w:pPr>
        <w:rPr>
          <w:rFonts w:ascii="GHEA Grapalat" w:hAnsi="GHEA Grapalat"/>
          <w:sz w:val="24"/>
          <w:szCs w:val="24"/>
          <w:lang w:val="ru-RU"/>
        </w:rPr>
      </w:pPr>
      <w:r w:rsidRPr="005D33E2">
        <w:rPr>
          <w:rFonts w:ascii="GHEA Grapalat" w:hAnsi="GHEA Grapalat"/>
          <w:sz w:val="24"/>
          <w:szCs w:val="24"/>
          <w:lang w:val="ru-RU"/>
        </w:rPr>
        <w:t>Если в приглашении не предусмотрена возможность предоставления информации о товарном знаке, фирменном наименовании, модели и производителе предлагаемого участником товара, то столбец «товарный знак, фирменное наименование, модель и наименование производителя» удаляется из этого приложения.</w:t>
      </w:r>
    </w:p>
    <w:sectPr w:rsidR="005D33E2" w:rsidRPr="005D33E2" w:rsidSect="00034616">
      <w:footerReference w:type="default" r:id="rId8"/>
      <w:pgSz w:w="12240" w:h="15840"/>
      <w:pgMar w:top="1020" w:right="1020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82F79" w14:textId="77777777" w:rsidR="00AC1053" w:rsidRDefault="00AC1053">
      <w:pPr>
        <w:spacing w:after="0" w:line="240" w:lineRule="auto"/>
      </w:pPr>
      <w:r>
        <w:separator/>
      </w:r>
    </w:p>
  </w:endnote>
  <w:endnote w:type="continuationSeparator" w:id="0">
    <w:p w14:paraId="6B49FF6A" w14:textId="77777777" w:rsidR="00AC1053" w:rsidRDefault="00AC1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87" w:usb1="00000000" w:usb2="00000000" w:usb3="00000000" w:csb0="0000001B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BBABA" w14:textId="77777777" w:rsidR="00746AB4" w:rsidRDefault="0051588C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 w:rsidR="00840B2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F0B27" w14:textId="77777777" w:rsidR="00AC1053" w:rsidRDefault="00AC1053">
      <w:pPr>
        <w:spacing w:after="0" w:line="240" w:lineRule="auto"/>
      </w:pPr>
      <w:r>
        <w:separator/>
      </w:r>
    </w:p>
  </w:footnote>
  <w:footnote w:type="continuationSeparator" w:id="0">
    <w:p w14:paraId="1BB3BF81" w14:textId="77777777" w:rsidR="00AC1053" w:rsidRDefault="00AC1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06E8"/>
    <w:rsid w:val="00034616"/>
    <w:rsid w:val="0006063C"/>
    <w:rsid w:val="000B1492"/>
    <w:rsid w:val="001237E9"/>
    <w:rsid w:val="0015074B"/>
    <w:rsid w:val="0028119A"/>
    <w:rsid w:val="0029639D"/>
    <w:rsid w:val="00326F90"/>
    <w:rsid w:val="00385AF0"/>
    <w:rsid w:val="0051588C"/>
    <w:rsid w:val="005D33E2"/>
    <w:rsid w:val="006254E6"/>
    <w:rsid w:val="00746AB4"/>
    <w:rsid w:val="00840B24"/>
    <w:rsid w:val="009F2655"/>
    <w:rsid w:val="00AA1D8D"/>
    <w:rsid w:val="00AC1053"/>
    <w:rsid w:val="00B47730"/>
    <w:rsid w:val="00CB0664"/>
    <w:rsid w:val="00EE6736"/>
    <w:rsid w:val="00EF52F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2C7641"/>
  <w14:defaultImageDpi w14:val="300"/>
  <w15:docId w15:val="{624600B0-8219-4380-9E96-9F134563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Sylfaen" w:eastAsia="Sylfaen" w:hAnsi="Sylfae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ootnoteText">
    <w:name w:val="footnote text"/>
    <w:basedOn w:val="Normal"/>
    <w:link w:val="FootnoteTextChar"/>
    <w:semiHidden/>
    <w:rsid w:val="009F265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F265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isselectedend">
    <w:name w:val="isselectedend"/>
    <w:basedOn w:val="Normal"/>
    <w:rsid w:val="00020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020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0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A39DF1-3D1D-4275-90B8-C21EB4364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952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Դեղերի գնման տեխնիկական և որակական ընդհանուր պահանջներ</vt:lpstr>
      <vt:lpstr>Դեղերի գնման տեխնիկական և որակական ընդհանուր պահանջներ</vt:lpstr>
    </vt:vector>
  </TitlesOfParts>
  <Manager/>
  <Company/>
  <LinksUpToDate>false</LinksUpToDate>
  <CharactersWithSpaces>6370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Դեղերի գնման տեխնիկական և որակական ընդհանուր պահանջներ</dc:title>
  <dc:subject>Գնման ընթացակարգին կցվող ընդհանուր պահանջներ</dc:subject>
  <dc:creator/>
  <cp:keywords/>
  <dc:description>generated by python-docx</dc:description>
  <cp:lastModifiedBy>Personnel</cp:lastModifiedBy>
  <cp:revision>7</cp:revision>
  <dcterms:created xsi:type="dcterms:W3CDTF">2013-12-23T23:15:00Z</dcterms:created>
  <dcterms:modified xsi:type="dcterms:W3CDTF">2026-09-01T06:20:00Z</dcterms:modified>
  <cp:category/>
</cp:coreProperties>
</file>