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2026.09.10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ԿԿ-ԷԱՃԾՁԲ-26/06</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Կադաստրի կոմիտե</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Արշակունյաց 7</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Услуги брендинга для нужд комитета кадастра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11:00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11:00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Անուշ Եղիազարյան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gnumner@cadastre.am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+374 60474142</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Կադաստրի կոմիտե</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ԿԿ-ԷԱՃԾՁԲ-26/06</w:t>
      </w:r>
      <w:r w:rsidRPr="00496FAD">
        <w:rPr>
          <w:rFonts w:ascii="Calibri" w:hAnsi="Calibri" w:cs="Times Armenian"/>
          <w:i/>
          <w:lang w:val="ru-RU"/>
        </w:rPr>
        <w:br/>
      </w:r>
      <w:r w:rsidRPr="00496FAD">
        <w:rPr>
          <w:rFonts w:ascii="Calibri" w:hAnsi="Calibri" w:cstheme="minorHAnsi"/>
          <w:szCs w:val="20"/>
          <w:lang w:val="af-ZA"/>
        </w:rPr>
        <w:t>2026.09.10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Կադաստրի կոմիտե</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Կադաստրի կոմիտե</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Услуги брендинга для нужд комитета кадастра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Услуги брендинга для нужд комитета кадастра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Կադաստրի կոմիտե</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gnumner@cadastre.am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Услуги брендинга для нужд комитета кадастра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դիզայնի օժանդակ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364.32</w:t>
      </w:r>
      <w:r w:rsidRPr="005704A1">
        <w:rPr>
          <w:rFonts w:ascii="Calibri" w:hAnsi="Calibri"/>
          <w:szCs w:val="22"/>
        </w:rPr>
        <w:t xml:space="preserve"> драмом, российский рубль </w:t>
      </w:r>
      <w:r w:rsidRPr="005704A1">
        <w:rPr>
          <w:rFonts w:ascii="Calibri" w:hAnsi="Calibri"/>
          <w:lang w:val="hy-AM"/>
        </w:rPr>
        <w:t>4.2392</w:t>
      </w:r>
      <w:r w:rsidRPr="005704A1">
        <w:rPr>
          <w:rFonts w:ascii="Calibri" w:hAnsi="Calibri"/>
          <w:szCs w:val="22"/>
        </w:rPr>
        <w:t xml:space="preserve">драмом, евро </w:t>
      </w:r>
      <w:r w:rsidRPr="005704A1">
        <w:rPr>
          <w:rFonts w:ascii="Calibri" w:hAnsi="Calibri"/>
          <w:lang w:val="hy-AM"/>
        </w:rPr>
        <w:t>424.36</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2026.09.23.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ԿԿ-ԷԱՃԾՁԲ-26/06</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Կադաստրի կոմիտե</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ԿԿ-ԷԱՃԾՁԲ-26/06</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ԿԿ-ԷԱՃԾՁԲ-26/06</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"ԿԿ-ԷԱՃԾՁԲ-26/06"</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Կադաստրի կոմիտե*(далее — Заказчик) процедуре закупок под кодом ԿԿ-ԷԱՃԾՁԲ-26/06*.</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"ԿԿ-ԷԱՃԾՁԲ-26/06"</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Կադաստրի կոմիտե*(далее — Заказчик) процедуре закупок под кодом ԿԿ-ԷԱՃԾՁԲ-26/06*.</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ԿԿ-ԷԱՃԾՁԲ-26/06</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դիզայնի օժանդակ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до через 30 календарных дней после учета соглашения, заключенного до 15.12.2026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