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2026.09.14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ՀՀԱՆ-ԷԱՃԱՊՁԲ-26/33</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Министерство юстиции Республики Армения</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РА г. Ереван, В. Саргсяна 3/8</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Компьютер</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11:00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10</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11:00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10</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Анаит Егиазарян</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anahit.yeghiazaryann@gmail.com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010593945</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Министерство юстиции Республики Армения</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ՀՀԱՆ-ԷԱՃԱՊՁԲ-26/33</w:t>
      </w:r>
      <w:r w:rsidRPr="00F32D53">
        <w:rPr>
          <w:rFonts w:ascii="Calibri" w:hAnsi="Calibri" w:cstheme="minorHAnsi"/>
          <w:i/>
        </w:rPr>
        <w:br/>
      </w:r>
      <w:r w:rsidRPr="00F32D53">
        <w:rPr>
          <w:rFonts w:ascii="Calibri" w:hAnsi="Calibri" w:cstheme="minorHAnsi"/>
          <w:szCs w:val="20"/>
          <w:lang w:val="af-ZA"/>
        </w:rPr>
        <w:t>2026.09.14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Министерство юстиции Республики Армения</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Министерство юстиции Республики Армения</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Компьютер</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Компьютер</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Министерство юстиции Республики Армения</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ՀՀԱՆ-ԷԱՃԱՊՁԲ-26/33</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anahit.yeghiazaryann@gmail.com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Компьютер</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11:00</w:t>
      </w:r>
      <w:r w:rsidRPr="00F32D53">
        <w:rPr>
          <w:rFonts w:ascii="Calibri" w:hAnsi="Calibri" w:cstheme="minorHAnsi"/>
          <w:lang w:val="ru-RU"/>
        </w:rPr>
        <w:t>" часов "</w:t>
      </w:r>
      <w:r w:rsidR="003955D4" w:rsidRPr="00F32D53">
        <w:rPr>
          <w:rFonts w:ascii="Calibri" w:hAnsi="Calibri" w:cstheme="minorHAnsi"/>
          <w:lang w:val="af-ZA"/>
        </w:rPr>
        <w:t>10</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363.28</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4.2971</w:t>
      </w:r>
      <w:r w:rsidRPr="00F32D53">
        <w:rPr>
          <w:rFonts w:ascii="Calibri" w:hAnsi="Calibri" w:cstheme="minorHAnsi"/>
          <w:szCs w:val="22"/>
        </w:rPr>
        <w:t xml:space="preserve"> драмом, евро </w:t>
      </w:r>
      <w:r w:rsidR="00991780" w:rsidRPr="00F32D53">
        <w:rPr>
          <w:rFonts w:ascii="Calibri" w:hAnsi="Calibri" w:cstheme="minorHAnsi"/>
          <w:lang w:val="af-ZA"/>
        </w:rPr>
        <w:t>421.11</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2026.09.25. 11:00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Министерство юстиции Республики Армения</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ՀՀԱՆ-ԷԱՃԱՊՁԲ-26/33</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ՀՀԱՆ-ԷԱՃԱՊՁԲ-26/33</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'ՀՀԱՆ-ԷԱՃԱՊՁԲ-26/33'</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ՀՀԱՆ-ԷԱՃԱՊՁԲ-26/33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Министерство юстиции Республики Армения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 </w:t>
      </w:r>
      <w:r w:rsidRPr="00F32D53">
        <w:rPr>
          <w:rStyle w:val="Hyperlink"/>
          <w:rFonts w:ascii="Calibri" w:hAnsi="Calibri" w:cstheme="minorHAnsi"/>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Приложение 3.1</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под кодом "ՀՀԱՆ-ԷԱՃԱՊՁԲ-26/33"*</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заключаемым                    (далее-принципал ) в результате  _______________________________</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наименование отобранного участника</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организованной   (далее-бенефициар) Министерство юстиции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процедуры  закупок под кодом ՀՀԱՆ-ԷԱՃԱՊՁԲ-26/33</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2.  По гарантии_____________________________________________________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наименование дающего гарантию банка или страховой компании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5. Гарантия действует с момента выпуска и в силе со дня вступления в силу договора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lang w:val="en-US"/>
        </w:rPr>
        <w:t xml:space="preserve">номер заключаемого договора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и  действует  включительно  до  девяностого  рабочего  дня   следующего за днем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____________________________________________________________________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крайний срок поставки товаров, предусмотренный заключаемым договором</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1) копии заключенного договора N_____________________, включая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копии внесенных  в него изменений, дополнительных соглашений,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lang w:val="en-US"/>
          </w:rPr>
          <w:t>www.procurement.am</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3) двухсторонне утвержденный в рамках договора между бенефициаром и принципалом акт (акты) приема-передачи или его (их) копии.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Руководитель исполнительного органа_______________________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__________________________________</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ՀՀԱՆ-ԷԱՃԱՊՁԲ-26/33</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ՀՀԱՆ-ԷԱՃԱՊՁԲ-26/33</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29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всё в одном (моноблок)
Экран
• Диагональ՝ 23.8 дюйма (60.47 см), не менее
• Не менее FHD 1920 x 1080
• Тип՝ не менее Wide Viewing Angle (WVA) / LCD-панель с эквивалентным широким углом обзора
• Частота обновления՝ не менее 100 Гц
• Экран несенсорный
• Поверхность Anti-Glare
• Цветовой охват не менее 99% sRGB
• Цветовая гамма не менее 72% NTSC
• Яркость не менее 250 cd/m²
• Контрастность՝ не менее 1500:1
Время отклика: до 25 мс
• Узкая рамка с трёх сторон (Narrow Border)
• Экран должен обеспечивать технологии Low Blue Light и Flicker-Free или эквивалентные технологии для снижения воздействия синего света и мерцания экрана. Наличие соответствующих функций должно быть подтверждено соответствующей технической документацией или сертификатами производителя. Решение для снижения синего света не должно существенно ухудшать качество цветопередачи экрана
Процессор
• Период выпуска процессора՝ не ранее I квартала 2024 г.
• Количество физических ядер: минимум 6
• Общее количество потоков (Total Threads)՝ минимум 8
• Максимальная турбо-частота: минимум 4.7 ГГц
• Максимальная турбо-частота эффективного ядра՝ минимум 3.3 ГГц
• Базовая частота эффективного ядра՝ минимум 1.2 ГГц
• Кэш: минимум 10 МБ
• Базовая мощность процессора՝ минимум 15 Вт
• Максимальная турбо-мощность процессора՝ минимум 55 Вт
• Минимальная гарантированная мощность՝ минимум 12 Вт
Оперативная память
• Минимум 8 ГБ DDR5 – не менее 5200 МГц
• Общее количество слотов памяти՝ возможность установки не менее 2 модулей оперативной памяти (2xDIMM)
• Возможность увеличения максимального объёма оперативной памяти до 32 ГБ
Накопитель
• Накопитель՝ минимум 512 ГБ M.2 2230 NVMe
Видеокарта
• Встроенная (Integrated)
Встроенная камера
• Встроенная выдвижная/скрываемая (Retractable) камера
• FHD RGB камера
• Разрешение видео՝ 1920 × 1080 (FHD), 30 кадров/с
• Разрешение статического изображения՝ 2.07 МП
• Камера должна иметь интегрированный микрофон
• Расположение камеры՝ в верхней части, с выдвижным (retractable) механизмом
Динамики
• Интегрированные двойные стереодинамики не менее 5 Вт x 2
• Общая мощность՝ не менее 10 Вт
• Должна обеспечиваться поддержка Dolby Atmos или эквивалентной технологии пространственного звучания
Беспроводная и проводная сеть
• Встроенный Intel Wi-Fi не менее 6E AX211, 2×2, беспроводной сетевой модуль 802.11ax
• Поддержка беспроводной связи Bluetooth не менее 5.3
• Проводная сеть՝ не менее 1 × RJ-45 Ethernet порта
• Скорость передачи Ethernet՝ 10/100/1000 Мбит/с, максимум 1 Гбит/с
Внешние порты подключения и слоты
• Не менее 1 × USB Type-C 3.2 Gen 2, до 10 Гбит/с
• Не менее 3 × USB 3.2 Gen 1, до 5 Гбит/с, с поддержкой Wake-up
• Не менее 1 × USB 3.2 Gen 2, до 10 Гбит/с, с функцией PowerShare
• Не менее 1 × HDMI-выход 1.4b
• Не менее 1 × HDMI-вход 1.4
• Не менее 1 × RJ-45 Ethernet 10/100/1000 Мбит/с
• Не менее 1 × комбинированный разъём Headset (наушники/микрофон) 3.5 мм
• Не менее 1 × устройство чтения карт SD 3.0
• Не менее 1 × порт подключения адаптера питания
Внутренние возможности расширения
• Не менее 1 × M.2 2230 слот для PCIe SSD
• Не менее 1 × M.2 2230 слот для комбинированной карты Wi-Fi/Bluetooth
• 2 × DIMM слота для оперативной памяти
Электропитание
• Питание՝ не менее 90 Вт AC адаптер
• Кабель питания՝ европейского стандарта (European Power Cord)
Клавиатура и мышь
• Беспроводная клавиатура белого или жемчужно-белого цвета с раскладкой US International QWERTY
• Беспроводная мышь белого или жемчужно-белого цвета
• Клавиатура и мышь должны быть одного производителя и входить в заводскую комплектацию устройства
Операционная система и программное обеспечение
• Операционная система՝ лицензионная Win 11 Pro или выше
Другие условия
• Моноблок должен иметь отдельную кнопку Monitor Mode Switch или эквивалентную возможность для отображения на экране изображения, получаемого от внешнего устройства через HDMI-вход
• Цвет моноблока՝ белый или жемчужно-белый. Область динамиков должна иметь тканевое защитное покрытие. Подставка должна быть треугольной формы и обеспечивать возможность размещения клавиатуры под экраном с целью экономии рабочего пространства
• Для информационной безопасности должно быть обеспечено наличие TPM 2.0 в виде программного или встроенного модуля
Содержание комплекта
• Минимум 23.8-дюймовый компьютер All-in-One
• Не менее 90 Вт AC адаптер питания
• Кабель европейского стандарта (European Power Cord)
• Беспроводная клавиатура
• Беспроводная мышь
• Руководство по быстрому запуску и документация производителя
Гарантийное обеспечение и обслуживание
• Гарантийное обслуживание 365 календарных дней
• Обеспечение гарантийного обслуживания как минимум в одном официальном сервисном центре производителя и справка от производителя о том, что товар произведён для реализации и обслуживания в регионе, включающем Республику Армения (МАФ или ДАФ). При представлении технических характеристик предлагаемого товара, предусмотренных приглашением, также предоставляются данные официального сервисного центра и сертификаты МАФ или ДАФ.
Поставляемое товары должно быть новым, ранее не использованным, не восстановленным и в полной заводской упаковке. Транспортировка оборудования, его разгрузка и передача заказчику осуществляются силами и средствами поставщика.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В. Саргсяна,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действия договора устанавливается с даты вступления договора в силу до 15 декабря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