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ԿԾԿԾԻԳ-ԷԱՃԱՊՁԲ-26/32 для нужд БРП ОНКС РА “Центр образовательных программ”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ԿԾԿԾԻԳ-ԷԱՃԱՊՁԲ-26/32</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ԿԾԿԾԻԳ-ԷԱՃԱՊՁԲ-26/32 для нужд БРП ОНКС РА “Центр образовательных программ”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ԿԾԿԾԻԳ-ԷԱՃԱՊՁԲ-26/32 для нужд БРП ОНКС РА “Центр образовательных программ”</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ԿԾԿԾԻԳ-ԷԱՃԱՊՁԲ-26/32 для нужд БРП ОНКС РА “Центр образовательных программ”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моторный метод: не менее 85, давление насыщенных паров бензина: от 45 до 100 кПа, содержание свинца не более 5 мг/дм, объемная доля бензола не более. более 1%, плотность при 15 градусах Цельсия от 720 до 775 кг/дм, содержание серы не более 10 мг/кг, массовая доля кислорода не более 2,7%, объемная доля окислителей, не более: метанол-3%. ,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РА 2004 г. правительство. «Технический регламент моторных топлив внутреннего сгорания», утвержденный решением N 1592 от 11 ноября. 
Поставка должна осуществляться по талонам, которые должны обслуживаться на всей территории Республики Армения (Ереван и марзы).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гр. Ереван, С. Врацяна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