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ԶՄՄԱԲԿ-ԷԱՃԱՊՁԲ-71/26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ԶՄՄԱԲԿ-ԷԱՃԱՊՁԲ-71/26</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ԶՄՄԱԲԿ-ԷԱՃԱՊՁԲ-71/26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"ԶՄՄԱԲԿ-ԷԱՃԱՊՁԲ-71/26"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"ԶՄՄԱԲԿ-ԷԱՃԱՊՁԲ-71/26"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ԶՄՄԱԲԿ-ԷԱՃԱՊՁԲ-71/26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(исследовательский метод): не менее 91; октановое число (моторный метод): не менее 81; давление насыщенных паров бензина: от 45 до 100 кПа; содержание свинца: не более 5 мг/дм³; объемная доля бензола: не более 1%, Плотность при 15 °C: от 720 до 775 кг/м³; содержание серы: не более 10 мг/кг; массовая доля кислорода: не более 2,7 %; объемная доля оксигенатов: не более — метанол 3 %, этанол 5 %, изопропиловый спирт 10 %, изобутиловый спирт 10 %, трет-бутиловый спирт 7 %, эфиры (C5 и выше) 15 %, прочие оксигенаты 10 %; безопасность, Маркировка и упаковка должны соответствовать требованиям «Технического регламента о топливе для двигателей внутреннего сгорания», утвержденного постановлением Правительства Республики Армения № 1592-N от 11 ноября 2004 года. Поставка осуществляется по талонам на автозаправочных станциях, расположенных в городе Армавир. По истечении срока исполнения договора договор считается расторгнутым в части непоставленного (неиспользованного) объема.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