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ԵՄ-ԷԱՃԱՊՁԲ-26/104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վառելիքի  ձեռքբերման նպատակով ԵՄ-ԷԱՃԱՊՁԲ-26/104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ԵՄ-ԷԱՃԱՊՁԲ-26/104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վառելիքի  ձեռքբերման նպատակով ԵՄ-ԷԱՃԱՊՁԲ-26/104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վառելիքի  ձեռքբերման նպատակով ԵՄ-ԷԱՃԱՊՁԲ-26/104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ԵՄ-ԷԱՃԱՊՁԲ-26/104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վառելիքի  ձեռքբերման նպատակով ԵՄ-ԷԱՃԱՊՁԲ-26/104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2026.09.29.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ԵՄ-ԷԱՃԱՊՁԲ-26/104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ԵՄ-ԷԱՃԱՊՁԲ-26/104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«ԵՄ-ԷԱՃԱՊՁԲ-26/104»*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ԵՄ-ԷԱՃԱՊՁԲ-26/104*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«ԵՄ-ԷԱՃԱՊՁԲ-26/104»*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ԵՄ-ԷԱՃԱՊՁԲ-26/104*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«ԿԱՐԵՆ ԴԵՄԻՐՃՅԱՆԻ ԱՆՎԱՆ ԵՐԵՎԱՆԻ ՄԵՏՐՈՊՈԼԻՏԵՆ»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Ցետանային թիվը 51-ից ոչ պակաս: Ցետանային ցուցիչը 46-ից ոչ պակաս:
Խտությունը 15 աստիճան ցելսիուս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աստիճան ցելսիուսից ոչ ցածր:
Ածխածնի մնացորդը /կոքսելիությունը/ 10 % նստվածքում 0,3 %-ից ոչ ավելի: Մածուցիկությունը 40 աստիճան ցելսիուսում` 2,0-ից մինչև 4,5 մմ2/վ: Պղտորման ջերմաստիճանը` 5 աստիճան ցելսիուսից ոչ բարձր: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Մատակարարումը՝ կտրոնային եղանակաով, որոնք պետք է սպասարկվեն Երևանի բոլոր վարչական շրջաններում: Պարտադիր պայման է, որ լիցքավորման կետերից մեկը գտնվի Շիրակի և Արարատյան փողոցների հատման խաչմերուկից առավելագույնը 2000 մետր հեռավորության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 Օկտանային թիվը որոշված՝ հետազոտական մեթոդով` ոչ պակաս 91:
Շարժիչային մեթոդով` ոչ պակաս 81:
Կապարի պարունակությունը 5 մգ/դմ3-ից ոչ ավելի:
Խտությունը` 15 աստիճան ցելսիուս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Մատակարարումը՝ կտրոնային եղանակով, որոնք պետք է սպասարկվեն Երևանի բոլոր վարչական շրջաններում: Պարտադիր պայման է, որ լիցքավորման կետերից մեկը գտնվի Շիրակի և Արարատյան փողոցների հատման խաչմերուկից առավելագույնը 2000 մետր հեռավորության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 Օկտանային թիվը որոշված՝ հետազոտական մեթոդով` ոչ պակաս 95: 
Շարժիչային մեթոդով` ոչ պակաս 85:  
Կապարի պարունակությունը՝ 5 մգ/դմ3-ից ոչ ավելի:  
Խտությունը` 15 աստիճան ցելսիուս ջերմաստիճանում` 720-775 կգ/մ3: 
Ծծմբի պարունակությունը` 10 մգ/կգ-ից ոչ ավելի: 
Ածխաջրածինների ծավալային մասը, ոչ ավելի՝ արո¬մատիկ – 35 %, օլեֆիններ - 18 %, բենզոլի ծավալային մասը 1 %-ից ոչ ավելի: 
Թթվածնի զանգվածային մասը` 2,7 %-ից ոչ ավելի, օքսիդիչների ծավալային մասը, ոչ ավելի` մեթանոլ - 3 %, էթանոլ - 5 %, իզոպրոպիլ սպիրտ – 10 %, իզոբութիլ սպիրտ - 10 %, եռաբութիլ սպիրտ - 7 %, եթերներ (C5 և ավելի) - 15 %, այլ օքսիդիչներ - 10 %: 
Մատակարարումը կտրոնային (10լ և 20լ կտրոններով): Կտրոնների վավերականության ժամկետը առնվազն մինչև 31.12.2027թ:
Բենզալցակայանների առկայություն ՀՀ բոլոր քաղաքներում: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